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F83C3" w14:textId="63826EDA" w:rsidR="00CD3616" w:rsidRPr="00CD3616" w:rsidRDefault="00CD3616" w:rsidP="00CD3616">
      <w:pPr>
        <w:rPr>
          <w:b/>
          <w:bCs/>
        </w:rPr>
      </w:pPr>
      <w:r w:rsidRPr="00CD3616">
        <w:rPr>
          <w:b/>
          <w:bCs/>
        </w:rPr>
        <w:t xml:space="preserve">DELIBERA DEL CONSIGLIO DEI MINISTRI </w:t>
      </w:r>
      <w:r w:rsidR="00444B74">
        <w:rPr>
          <w:b/>
          <w:bCs/>
        </w:rPr>
        <w:t xml:space="preserve">                  </w:t>
      </w:r>
      <w:r w:rsidR="00507792">
        <w:rPr>
          <w:b/>
          <w:bCs/>
        </w:rPr>
        <w:t>marzo</w:t>
      </w:r>
      <w:r w:rsidR="00444B74">
        <w:rPr>
          <w:b/>
          <w:bCs/>
        </w:rPr>
        <w:t xml:space="preserve"> 2024</w:t>
      </w:r>
    </w:p>
    <w:p w14:paraId="16FC04EE" w14:textId="1822E164" w:rsidR="00402067" w:rsidRDefault="00EC5A20" w:rsidP="00A7004C">
      <w:pPr>
        <w:jc w:val="both"/>
        <w:rPr>
          <w:rFonts w:cstheme="minorHAnsi"/>
          <w:b/>
          <w:bCs/>
        </w:rPr>
      </w:pPr>
      <w:r>
        <w:rPr>
          <w:b/>
          <w:bCs/>
        </w:rPr>
        <w:t xml:space="preserve">Linee di indirizzo </w:t>
      </w:r>
      <w:r w:rsidR="00A7004C">
        <w:rPr>
          <w:b/>
          <w:bCs/>
        </w:rPr>
        <w:t>alle Regioni</w:t>
      </w:r>
      <w:r>
        <w:rPr>
          <w:b/>
          <w:bCs/>
        </w:rPr>
        <w:t>, alle Provincie autonome</w:t>
      </w:r>
      <w:r w:rsidR="00A7004C">
        <w:rPr>
          <w:b/>
          <w:bCs/>
        </w:rPr>
        <w:t xml:space="preserve"> e ai Comuni in materia di durata </w:t>
      </w:r>
      <w:r w:rsidR="00FE1E87">
        <w:rPr>
          <w:b/>
          <w:bCs/>
        </w:rPr>
        <w:t xml:space="preserve">e di regolamentazione </w:t>
      </w:r>
      <w:r w:rsidR="00A7004C">
        <w:rPr>
          <w:b/>
          <w:bCs/>
        </w:rPr>
        <w:t>delle concessioni demaniali marittime, lacuali e fluviali per finalità turistiche e ricreative, a seguito della disciplina introdotta dall’articolo 1 del decreto</w:t>
      </w:r>
      <w:r w:rsidR="00C233A7">
        <w:rPr>
          <w:b/>
          <w:bCs/>
        </w:rPr>
        <w:t>-</w:t>
      </w:r>
      <w:r w:rsidR="00A7004C">
        <w:rPr>
          <w:b/>
          <w:bCs/>
        </w:rPr>
        <w:t xml:space="preserve">legge </w:t>
      </w:r>
      <w:r w:rsidR="00C233A7">
        <w:rPr>
          <w:b/>
          <w:bCs/>
        </w:rPr>
        <w:t>16 settembre</w:t>
      </w:r>
      <w:r w:rsidR="00A7004C">
        <w:rPr>
          <w:b/>
          <w:bCs/>
        </w:rPr>
        <w:t xml:space="preserve"> 2024, n. 131, recante </w:t>
      </w:r>
      <w:r w:rsidR="00A7004C">
        <w:rPr>
          <w:rFonts w:cstheme="minorHAnsi"/>
          <w:b/>
          <w:bCs/>
        </w:rPr>
        <w:t>«</w:t>
      </w:r>
      <w:r w:rsidR="00A7004C" w:rsidRPr="00A7004C">
        <w:rPr>
          <w:rFonts w:cstheme="minorHAnsi"/>
          <w:b/>
          <w:bCs/>
        </w:rPr>
        <w:t xml:space="preserve">Disposizioni urgenti in materia di concessioni demaniali </w:t>
      </w:r>
      <w:r w:rsidR="00C233A7">
        <w:rPr>
          <w:rFonts w:cstheme="minorHAnsi"/>
          <w:b/>
          <w:bCs/>
        </w:rPr>
        <w:t xml:space="preserve"> </w:t>
      </w:r>
      <w:r w:rsidR="00A7004C" w:rsidRPr="00A7004C">
        <w:rPr>
          <w:rFonts w:cstheme="minorHAnsi"/>
          <w:b/>
          <w:bCs/>
        </w:rPr>
        <w:t>marittime, lacuali e fluviali per finalità turistico-ricreative e sportive - Procedura di infrazione n. 2020/4118</w:t>
      </w:r>
      <w:r w:rsidR="00A7004C">
        <w:rPr>
          <w:rFonts w:cstheme="minorHAnsi"/>
          <w:b/>
          <w:bCs/>
        </w:rPr>
        <w:t xml:space="preserve">», convertito con modificazioni dalla </w:t>
      </w:r>
      <w:r w:rsidR="00FE1E87">
        <w:rPr>
          <w:rFonts w:cstheme="minorHAnsi"/>
          <w:b/>
          <w:bCs/>
        </w:rPr>
        <w:t xml:space="preserve">legge 14 novembre 2024, n.166. </w:t>
      </w:r>
    </w:p>
    <w:p w14:paraId="5A9252F9" w14:textId="3B862F65" w:rsidR="00CD3616" w:rsidRPr="00CD3616" w:rsidRDefault="00CD3616" w:rsidP="00CD3616">
      <w:r w:rsidRPr="00CD3616">
        <w:rPr>
          <w:i/>
          <w:iCs/>
        </w:rPr>
        <w:t>(GU</w:t>
      </w:r>
      <w:r w:rsidR="00507792">
        <w:rPr>
          <w:i/>
          <w:iCs/>
        </w:rPr>
        <w:t xml:space="preserve">                                      </w:t>
      </w:r>
      <w:r w:rsidRPr="00CD3616">
        <w:rPr>
          <w:i/>
          <w:iCs/>
        </w:rPr>
        <w:t>)</w:t>
      </w:r>
    </w:p>
    <w:p w14:paraId="4248A32C" w14:textId="77777777" w:rsidR="00507792" w:rsidRDefault="00CD3616" w:rsidP="00CD3616">
      <w:r w:rsidRPr="00CD3616">
        <w:t xml:space="preserve"> </w:t>
      </w:r>
    </w:p>
    <w:p w14:paraId="5C370218" w14:textId="25C5C4E3" w:rsidR="00507792" w:rsidRDefault="00CD3616" w:rsidP="00507792">
      <w:pPr>
        <w:jc w:val="center"/>
      </w:pPr>
      <w:r w:rsidRPr="00CD3616">
        <w:t>IL CONSIGLIO DEI MINISTRI</w:t>
      </w:r>
    </w:p>
    <w:p w14:paraId="29D3C9F6" w14:textId="0943D465" w:rsidR="00CD3616" w:rsidRPr="00CD3616" w:rsidRDefault="00CD3616" w:rsidP="00507792">
      <w:pPr>
        <w:jc w:val="center"/>
      </w:pPr>
      <w:r w:rsidRPr="00CD3616">
        <w:t>nella riunione del</w:t>
      </w:r>
      <w:r w:rsidR="00507792">
        <w:t xml:space="preserve">      marzo 2025</w:t>
      </w:r>
    </w:p>
    <w:p w14:paraId="3CF7A38E" w14:textId="77777777" w:rsidR="00CD3616" w:rsidRPr="00CD3616" w:rsidRDefault="00CD3616" w:rsidP="00CD3616">
      <w:r w:rsidRPr="00CD3616">
        <w:t xml:space="preserve"> </w:t>
      </w:r>
    </w:p>
    <w:p w14:paraId="507C5531" w14:textId="56A8EEAB" w:rsidR="00CD3616" w:rsidRPr="00CD3616" w:rsidRDefault="00CD3616" w:rsidP="00044D9C">
      <w:pPr>
        <w:jc w:val="both"/>
      </w:pPr>
      <w:r w:rsidRPr="00CD3616">
        <w:t xml:space="preserve">  Vista la legge 23 agosto 1988, n. 400 e successive modificazioni ed</w:t>
      </w:r>
      <w:r w:rsidR="00507792">
        <w:t xml:space="preserve"> </w:t>
      </w:r>
      <w:r w:rsidRPr="00CD3616">
        <w:t>integrazioni,</w:t>
      </w:r>
      <w:r w:rsidR="00507792">
        <w:t xml:space="preserve"> </w:t>
      </w:r>
      <w:r w:rsidRPr="00CD3616">
        <w:t>recante «Disciplina  dell'attivit</w:t>
      </w:r>
      <w:r w:rsidR="00507792">
        <w:t>à</w:t>
      </w:r>
      <w:r w:rsidRPr="00CD3616">
        <w:t xml:space="preserve">  di   Governo e</w:t>
      </w:r>
      <w:r w:rsidR="00507792">
        <w:t xml:space="preserve"> </w:t>
      </w:r>
      <w:r w:rsidRPr="00CD3616">
        <w:t>ordinamento della  Presidenza  del  Consiglio  dei  ministri»  e,  in</w:t>
      </w:r>
      <w:r w:rsidR="00507792">
        <w:t xml:space="preserve"> </w:t>
      </w:r>
      <w:r w:rsidRPr="00CD3616">
        <w:t>particolare, l'art</w:t>
      </w:r>
      <w:r w:rsidR="004664E5">
        <w:t>icolo</w:t>
      </w:r>
      <w:r w:rsidRPr="00CD3616">
        <w:t xml:space="preserve"> </w:t>
      </w:r>
      <w:r w:rsidR="00EC5A20">
        <w:t>2</w:t>
      </w:r>
      <w:r w:rsidRPr="00CD3616">
        <w:t>, comma 3</w:t>
      </w:r>
      <w:r w:rsidR="00EC5A20">
        <w:t>, lettera h)</w:t>
      </w:r>
      <w:r w:rsidRPr="00CD3616">
        <w:t xml:space="preserve"> laddove  prevede  che  </w:t>
      </w:r>
      <w:r w:rsidR="00EC5A20">
        <w:t xml:space="preserve">sono sottoposti alla deliberazione del Consiglio dei ministri </w:t>
      </w:r>
      <w:r w:rsidRPr="00CD3616">
        <w:t>«</w:t>
      </w:r>
      <w:r w:rsidR="00044D9C" w:rsidRPr="00044D9C">
        <w:t>le linee di indirizzo in tema di politica internazionale e comunitaria e i progetti dei trattati e degli</w:t>
      </w:r>
      <w:r w:rsidR="00044D9C">
        <w:t xml:space="preserve"> </w:t>
      </w:r>
      <w:r w:rsidR="00044D9C" w:rsidRPr="00044D9C">
        <w:t>accordi internazionali, comunque denominati, di natura politica o militare</w:t>
      </w:r>
      <w:r w:rsidRPr="00CD3616">
        <w:t xml:space="preserve">»; </w:t>
      </w:r>
    </w:p>
    <w:p w14:paraId="17EF84C6" w14:textId="684365F4" w:rsidR="00CD3616" w:rsidRPr="00CD3616" w:rsidRDefault="00CD3616" w:rsidP="00485582">
      <w:pPr>
        <w:jc w:val="both"/>
      </w:pPr>
      <w:r w:rsidRPr="00CD3616">
        <w:t xml:space="preserve">  Visto il decreto legislativo 30 luglio 1999,  n. 303,  recante</w:t>
      </w:r>
      <w:r w:rsidR="00485582">
        <w:t xml:space="preserve"> </w:t>
      </w:r>
      <w:r w:rsidRPr="00CD3616">
        <w:t>«Ordinamento della Presidenza del  Consiglio  dei  ministri a norma</w:t>
      </w:r>
      <w:r w:rsidR="00485582">
        <w:t xml:space="preserve"> </w:t>
      </w:r>
      <w:r w:rsidRPr="00CD3616">
        <w:t xml:space="preserve">dell'art. 11 della legge 15 marzo 1997, n. 59»; </w:t>
      </w:r>
    </w:p>
    <w:p w14:paraId="70565619" w14:textId="77777777" w:rsidR="00043992" w:rsidRDefault="00CD3616" w:rsidP="00043992">
      <w:pPr>
        <w:jc w:val="both"/>
      </w:pPr>
      <w:r w:rsidRPr="00CD3616">
        <w:t xml:space="preserve"> </w:t>
      </w:r>
      <w:r w:rsidR="002112F2">
        <w:t xml:space="preserve"> Vista </w:t>
      </w:r>
      <w:r w:rsidR="00043992">
        <w:t>la</w:t>
      </w:r>
      <w:r w:rsidR="002112F2" w:rsidRPr="002112F2">
        <w:t xml:space="preserve"> disciplina concernente il rilascio delle concessioni su beni</w:t>
      </w:r>
      <w:r w:rsidR="00043992">
        <w:t xml:space="preserve"> </w:t>
      </w:r>
      <w:r w:rsidR="002112F2" w:rsidRPr="002112F2">
        <w:t>demaniali marittimi</w:t>
      </w:r>
      <w:r w:rsidR="00043992">
        <w:t>, che</w:t>
      </w:r>
      <w:r w:rsidR="002112F2" w:rsidRPr="002112F2">
        <w:t xml:space="preserve"> interseca una pluralit</w:t>
      </w:r>
      <w:r w:rsidR="00043992">
        <w:t>à</w:t>
      </w:r>
      <w:r w:rsidR="002112F2" w:rsidRPr="002112F2">
        <w:t xml:space="preserve"> di  settori materiali,</w:t>
      </w:r>
      <w:r w:rsidR="00043992">
        <w:t xml:space="preserve"> </w:t>
      </w:r>
      <w:r w:rsidR="002112F2" w:rsidRPr="002112F2">
        <w:t>attribuiti alla competenza sia statale che regionale  (si  confronti,</w:t>
      </w:r>
      <w:r w:rsidR="00043992">
        <w:t xml:space="preserve"> </w:t>
      </w:r>
      <w:r w:rsidR="002112F2" w:rsidRPr="002112F2">
        <w:t>per tutte, la sentenza n. 40 del 2017</w:t>
      </w:r>
      <w:r w:rsidR="00043992">
        <w:t xml:space="preserve"> della Corte costituzionale</w:t>
      </w:r>
      <w:r w:rsidR="002112F2" w:rsidRPr="002112F2">
        <w:t>)</w:t>
      </w:r>
      <w:r w:rsidR="00043992">
        <w:t>;</w:t>
      </w:r>
    </w:p>
    <w:p w14:paraId="41D73C0A" w14:textId="77777777" w:rsidR="00043992" w:rsidRDefault="00043992" w:rsidP="00043992">
      <w:pPr>
        <w:jc w:val="both"/>
      </w:pPr>
      <w:r>
        <w:t xml:space="preserve"> Considerato, in particolare, che a</w:t>
      </w:r>
      <w:r w:rsidR="002112F2" w:rsidRPr="002112F2">
        <w:t>lle regioni sono attribuite, dall'art. 105, comma 2, lettera  l)</w:t>
      </w:r>
      <w:r>
        <w:t xml:space="preserve"> </w:t>
      </w:r>
      <w:r w:rsidR="002112F2" w:rsidRPr="002112F2">
        <w:t>del decreto legislativo n. 112 del  1998,  competenze  amministrative</w:t>
      </w:r>
      <w:r>
        <w:t xml:space="preserve"> </w:t>
      </w:r>
      <w:r w:rsidR="002112F2" w:rsidRPr="002112F2">
        <w:t>inerenti al rilascio delle concessioni in uso  di  beni  del  demanio</w:t>
      </w:r>
      <w:r>
        <w:t xml:space="preserve"> </w:t>
      </w:r>
      <w:r w:rsidR="002112F2" w:rsidRPr="002112F2">
        <w:t>marittimo</w:t>
      </w:r>
      <w:r>
        <w:t xml:space="preserve"> e che, a</w:t>
      </w:r>
      <w:r w:rsidR="002112F2" w:rsidRPr="002112F2">
        <w:t>i sensi dell'art. 42 del decreto legislativo n. 96 del</w:t>
      </w:r>
      <w:r>
        <w:t xml:space="preserve"> </w:t>
      </w:r>
      <w:r w:rsidR="002112F2" w:rsidRPr="002112F2">
        <w:t>1999, le relative funzioni sono esercitate, di  regola,  dai  comuni,</w:t>
      </w:r>
      <w:r>
        <w:t xml:space="preserve"> </w:t>
      </w:r>
      <w:r w:rsidR="002112F2" w:rsidRPr="002112F2">
        <w:t>rispetto ai quali le regioni mantengono  poteri  di  indirizzo  (cfr.</w:t>
      </w:r>
      <w:r>
        <w:t xml:space="preserve"> </w:t>
      </w:r>
      <w:r w:rsidR="002112F2" w:rsidRPr="002112F2">
        <w:t>art. 11, comma 6, della legge n. 217 del  2011  -  legge  comunitaria</w:t>
      </w:r>
      <w:r>
        <w:t xml:space="preserve"> </w:t>
      </w:r>
      <w:r w:rsidR="002112F2" w:rsidRPr="002112F2">
        <w:t>2010 - come modificato dall'art. 34-quater, comma 1, lettera  a,  del</w:t>
      </w:r>
      <w:r>
        <w:t xml:space="preserve"> </w:t>
      </w:r>
      <w:r w:rsidR="002112F2" w:rsidRPr="002112F2">
        <w:t>decreto-legge n. 179 del 2012)</w:t>
      </w:r>
      <w:r>
        <w:t>;</w:t>
      </w:r>
    </w:p>
    <w:p w14:paraId="0DDFF0AC" w14:textId="77777777" w:rsidR="004664E5" w:rsidRDefault="00043992" w:rsidP="004664E5">
      <w:pPr>
        <w:jc w:val="both"/>
      </w:pPr>
      <w:r>
        <w:t xml:space="preserve"> Visto che l</w:t>
      </w:r>
      <w:r w:rsidR="002112F2" w:rsidRPr="002112F2">
        <w:t>a titolarit</w:t>
      </w:r>
      <w:r>
        <w:t>à</w:t>
      </w:r>
      <w:r w:rsidR="002112F2" w:rsidRPr="002112F2">
        <w:t xml:space="preserve"> dei relativi beni demaniali permane in capo allo</w:t>
      </w:r>
      <w:r w:rsidR="004664E5">
        <w:t xml:space="preserve"> </w:t>
      </w:r>
      <w:r w:rsidR="002112F2" w:rsidRPr="002112F2">
        <w:t>Stato, non avendo avuto attuazione, attraverso gli specifici decreti</w:t>
      </w:r>
      <w:r w:rsidR="004664E5">
        <w:t xml:space="preserve"> </w:t>
      </w:r>
      <w:r w:rsidR="002112F2" w:rsidRPr="002112F2">
        <w:t>del Presidente del Consiglio dei ministri volti all'individuazione</w:t>
      </w:r>
      <w:r w:rsidR="004664E5">
        <w:t xml:space="preserve"> </w:t>
      </w:r>
      <w:r w:rsidR="002112F2" w:rsidRPr="002112F2">
        <w:t>dei  singoli  beni,  l'art.  3,  comma  1,  lettera  a)  del  decreto</w:t>
      </w:r>
      <w:r w:rsidR="004664E5">
        <w:t xml:space="preserve"> </w:t>
      </w:r>
      <w:r w:rsidR="002112F2" w:rsidRPr="002112F2">
        <w:t>legislativo n.  85  del  2010  che,  in  combinato  disposto con il</w:t>
      </w:r>
      <w:r w:rsidR="004664E5">
        <w:t xml:space="preserve"> </w:t>
      </w:r>
      <w:r w:rsidR="002112F2" w:rsidRPr="002112F2">
        <w:t>successivo art. 5, comma 1, lettera a) del  medesimo  decreto, aveva</w:t>
      </w:r>
      <w:r w:rsidR="004664E5">
        <w:t xml:space="preserve"> </w:t>
      </w:r>
      <w:r w:rsidR="002112F2" w:rsidRPr="002112F2">
        <w:t>prefigurato il trasferimento alle regioni di tali beni</w:t>
      </w:r>
      <w:r w:rsidR="004664E5">
        <w:t>;</w:t>
      </w:r>
    </w:p>
    <w:p w14:paraId="5258DF0F" w14:textId="11C6CB68" w:rsidR="005F521F" w:rsidRDefault="004664E5" w:rsidP="005F521F">
      <w:pPr>
        <w:jc w:val="both"/>
      </w:pPr>
      <w:r>
        <w:t xml:space="preserve"> Considerato che, s</w:t>
      </w:r>
      <w:r w:rsidR="002112F2" w:rsidRPr="002112F2">
        <w:t>econdo la costante giurisprudenza della Corte</w:t>
      </w:r>
      <w:r w:rsidR="00E324D8">
        <w:t xml:space="preserve"> costituzionale</w:t>
      </w:r>
      <w:r w:rsidR="002112F2" w:rsidRPr="002112F2">
        <w:t>, «i criteri e le</w:t>
      </w:r>
      <w:r w:rsidR="00E324D8">
        <w:t xml:space="preserve"> </w:t>
      </w:r>
      <w:r w:rsidR="002112F2" w:rsidRPr="002112F2">
        <w:t>modalit</w:t>
      </w:r>
      <w:r w:rsidR="00E324D8">
        <w:t>à</w:t>
      </w:r>
      <w:r w:rsidR="002112F2" w:rsidRPr="002112F2">
        <w:t xml:space="preserve"> di affidamento delle concessioni demaniali marittime devono</w:t>
      </w:r>
      <w:r w:rsidR="00E324D8">
        <w:t xml:space="preserve"> </w:t>
      </w:r>
      <w:r w:rsidR="002112F2" w:rsidRPr="002112F2">
        <w:t>essere stabiliti nell'osservanza  dei   "principi   della libera</w:t>
      </w:r>
      <w:r w:rsidR="00E324D8">
        <w:t xml:space="preserve"> </w:t>
      </w:r>
      <w:r w:rsidR="002112F2" w:rsidRPr="002112F2">
        <w:t>concorrenza  e  della libert</w:t>
      </w:r>
      <w:r w:rsidR="00E324D8">
        <w:t>à</w:t>
      </w:r>
      <w:r w:rsidR="002112F2" w:rsidRPr="002112F2">
        <w:t xml:space="preserve"> di stabilimento, previsti dalla</w:t>
      </w:r>
      <w:r w:rsidR="00E324D8">
        <w:t xml:space="preserve"> </w:t>
      </w:r>
      <w:r w:rsidR="002112F2" w:rsidRPr="002112F2">
        <w:t>normativa comunitaria e nazionale" (sentenza  n. 213 del 2011, da</w:t>
      </w:r>
      <w:r w:rsidR="00E324D8">
        <w:t xml:space="preserve"> </w:t>
      </w:r>
      <w:r w:rsidR="002112F2" w:rsidRPr="002112F2">
        <w:t>ultimo ribadita dalla citata sentenza n. 40  del  2017);  ambiti da</w:t>
      </w:r>
      <w:r w:rsidR="00E324D8">
        <w:t xml:space="preserve"> </w:t>
      </w:r>
      <w:r w:rsidR="002112F2" w:rsidRPr="002112F2">
        <w:t>ritenersi  estranei,  in  via  di  principio,  alle  possibilit</w:t>
      </w:r>
      <w:r w:rsidR="00E324D8">
        <w:t>à</w:t>
      </w:r>
      <w:r w:rsidR="002112F2" w:rsidRPr="002112F2">
        <w:t xml:space="preserve"> di</w:t>
      </w:r>
      <w:r w:rsidR="005F521F">
        <w:t xml:space="preserve"> </w:t>
      </w:r>
      <w:r w:rsidR="002112F2" w:rsidRPr="002112F2">
        <w:t>intervento legislativo delle Regioni» (cos</w:t>
      </w:r>
      <w:r w:rsidR="005F521F">
        <w:t>ì</w:t>
      </w:r>
      <w:r w:rsidR="002112F2" w:rsidRPr="002112F2">
        <w:t xml:space="preserve"> la sentenza n. 157 del</w:t>
      </w:r>
      <w:r w:rsidR="005F521F">
        <w:t xml:space="preserve"> </w:t>
      </w:r>
      <w:r w:rsidR="002112F2" w:rsidRPr="002112F2">
        <w:t>2017</w:t>
      </w:r>
      <w:r w:rsidR="005F521F">
        <w:t xml:space="preserve"> della Corte costituzionale;</w:t>
      </w:r>
      <w:r w:rsidR="002112F2" w:rsidRPr="002112F2">
        <w:t xml:space="preserve"> </w:t>
      </w:r>
      <w:r w:rsidR="005F521F">
        <w:t>c</w:t>
      </w:r>
      <w:r w:rsidR="002112F2" w:rsidRPr="002112F2">
        <w:t>fr. anche, tra le altre, le sentenze nn. 139 del 2021, 10 del</w:t>
      </w:r>
      <w:r w:rsidR="005F521F">
        <w:t xml:space="preserve"> </w:t>
      </w:r>
      <w:r w:rsidR="002112F2" w:rsidRPr="002112F2">
        <w:t>2021, 1 del 2019)</w:t>
      </w:r>
      <w:r w:rsidR="005F521F">
        <w:t>;</w:t>
      </w:r>
    </w:p>
    <w:p w14:paraId="48B3CD0F" w14:textId="1FDC3C7D" w:rsidR="009D5EA3" w:rsidRDefault="005F521F" w:rsidP="009D5EA3">
      <w:pPr>
        <w:jc w:val="both"/>
      </w:pPr>
      <w:r>
        <w:t xml:space="preserve"> </w:t>
      </w:r>
      <w:r w:rsidR="00EF4F76" w:rsidRPr="00AA3110">
        <w:t xml:space="preserve"> </w:t>
      </w:r>
      <w:r w:rsidR="009D5EA3">
        <w:t xml:space="preserve">Considerato che, </w:t>
      </w:r>
      <w:r w:rsidR="003C6F5A">
        <w:t xml:space="preserve">rispetto </w:t>
      </w:r>
      <w:r w:rsidR="00EF4F76" w:rsidRPr="00AA3110">
        <w:t>ai profili di diritto dell'Unione europea</w:t>
      </w:r>
      <w:r w:rsidR="009D5EA3">
        <w:t xml:space="preserve"> concernenti la disciplina della durata delle concessioni demaniali marittime</w:t>
      </w:r>
      <w:r w:rsidR="00EF4F76" w:rsidRPr="00AA3110">
        <w:t>,</w:t>
      </w:r>
      <w:r w:rsidR="009D5EA3">
        <w:t xml:space="preserve"> </w:t>
      </w:r>
      <w:r w:rsidR="00EF4F76" w:rsidRPr="00AA3110">
        <w:t>l'adeguamento del quadro regolatorio nazionale  ai</w:t>
      </w:r>
      <w:r w:rsidR="009D5EA3">
        <w:t xml:space="preserve"> </w:t>
      </w:r>
      <w:r w:rsidR="00EF4F76" w:rsidRPr="00AA3110">
        <w:t xml:space="preserve">principi previsti dai </w:t>
      </w:r>
      <w:r w:rsidR="00EF4F76" w:rsidRPr="00AA3110">
        <w:lastRenderedPageBreak/>
        <w:t>Trattati e dal diritto derivato dell'Unione ha</w:t>
      </w:r>
      <w:r w:rsidR="009D5EA3">
        <w:t xml:space="preserve"> </w:t>
      </w:r>
      <w:r w:rsidR="00EF4F76" w:rsidRPr="00AA3110">
        <w:t>formato oggetto di un lungo e non sempre lineare processo, tuttora in</w:t>
      </w:r>
      <w:r w:rsidR="009D5EA3">
        <w:t xml:space="preserve"> </w:t>
      </w:r>
      <w:r w:rsidR="00EF4F76" w:rsidRPr="00AA3110">
        <w:t>corso</w:t>
      </w:r>
      <w:r w:rsidR="009D5EA3">
        <w:t>;</w:t>
      </w:r>
    </w:p>
    <w:p w14:paraId="0B9D1F6F" w14:textId="07F4B1B8" w:rsidR="006D219E" w:rsidRDefault="009D5EA3" w:rsidP="006D219E">
      <w:pPr>
        <w:jc w:val="both"/>
        <w:rPr>
          <w:rFonts w:cstheme="minorHAnsi"/>
        </w:rPr>
      </w:pPr>
      <w:r>
        <w:t xml:space="preserve"> Visto, in particolare, che g</w:t>
      </w:r>
      <w:r w:rsidR="00EF4F76" w:rsidRPr="00AA3110">
        <w:t>i</w:t>
      </w:r>
      <w:r>
        <w:t>à</w:t>
      </w:r>
      <w:r w:rsidR="00EF4F76" w:rsidRPr="00AA3110">
        <w:t xml:space="preserve"> </w:t>
      </w:r>
      <w:r w:rsidR="003C6F5A">
        <w:t>il 9</w:t>
      </w:r>
      <w:r w:rsidR="00EF4F76" w:rsidRPr="00AA3110">
        <w:t xml:space="preserve"> febbraio 2009</w:t>
      </w:r>
      <w:r w:rsidR="003C6F5A">
        <w:t xml:space="preserve">, su segnalazione dell’Autorità garante della Concorrenza e del mercato del 20 ottobre 2008, </w:t>
      </w:r>
      <w:r w:rsidR="00EF4F76" w:rsidRPr="00AA3110">
        <w:t xml:space="preserve">la Commissione europea </w:t>
      </w:r>
      <w:r w:rsidR="006D219E">
        <w:t xml:space="preserve">ha avviato con lettera di messa in mora </w:t>
      </w:r>
      <w:r w:rsidR="00EF4F76" w:rsidRPr="00AA3110">
        <w:t>la procedura</w:t>
      </w:r>
      <w:r w:rsidR="003C6F5A">
        <w:t xml:space="preserve"> </w:t>
      </w:r>
      <w:r w:rsidR="00EF4F76" w:rsidRPr="00AA3110">
        <w:t>d'infrazione n. 2008/4908, nell'ambito della quale si censurava il</w:t>
      </w:r>
      <w:r w:rsidR="003C6F5A">
        <w:t xml:space="preserve"> </w:t>
      </w:r>
      <w:r w:rsidR="00EF4F76" w:rsidRPr="00AA3110">
        <w:t>fatto</w:t>
      </w:r>
      <w:r w:rsidR="003C6F5A">
        <w:t xml:space="preserve"> </w:t>
      </w:r>
      <w:r w:rsidR="00EF4F76" w:rsidRPr="00AA3110">
        <w:t>che in Italia l'attribuzione delle concessioni demaniali</w:t>
      </w:r>
      <w:r w:rsidR="003C6F5A">
        <w:t xml:space="preserve"> </w:t>
      </w:r>
      <w:r w:rsidR="00EF4F76" w:rsidRPr="00AA3110">
        <w:t>marittime per finalit</w:t>
      </w:r>
      <w:r w:rsidR="003C6F5A">
        <w:t>à</w:t>
      </w:r>
      <w:r w:rsidR="00EF4F76" w:rsidRPr="00AA3110">
        <w:t xml:space="preserve"> </w:t>
      </w:r>
      <w:r w:rsidR="003C6F5A">
        <w:t xml:space="preserve">turistiche e </w:t>
      </w:r>
      <w:r w:rsidR="00EF4F76" w:rsidRPr="00AA3110">
        <w:t>ricreative si basasse su un sistema di</w:t>
      </w:r>
      <w:r w:rsidR="003C6F5A">
        <w:t xml:space="preserve"> </w:t>
      </w:r>
      <w:r w:rsidR="00EF4F76" w:rsidRPr="00AA3110">
        <w:t>preferenza per il concessionario uscente, se non addirittura di puro</w:t>
      </w:r>
      <w:r w:rsidR="003C6F5A">
        <w:t xml:space="preserve"> </w:t>
      </w:r>
      <w:r w:rsidR="00EF4F76" w:rsidRPr="00AA3110">
        <w:t>e semplice rinnovo automatico della concessione gi</w:t>
      </w:r>
      <w:r w:rsidR="003C6F5A">
        <w:t>à</w:t>
      </w:r>
      <w:r w:rsidR="00EF4F76" w:rsidRPr="00AA3110">
        <w:t xml:space="preserve"> assentita</w:t>
      </w:r>
      <w:r w:rsidR="003C6F5A">
        <w:t xml:space="preserve">, </w:t>
      </w:r>
      <w:r w:rsidR="003C6F5A" w:rsidRPr="00AA3110">
        <w:t>appunta</w:t>
      </w:r>
      <w:r w:rsidR="003C6F5A">
        <w:t>ndosi inizialmente</w:t>
      </w:r>
      <w:r w:rsidR="003C6F5A" w:rsidRPr="00AA3110">
        <w:t xml:space="preserve"> </w:t>
      </w:r>
      <w:r w:rsidR="003C6F5A">
        <w:t xml:space="preserve">le contestazioni </w:t>
      </w:r>
      <w:r w:rsidR="003C6F5A" w:rsidRPr="00AA3110">
        <w:t>sulla contrariet</w:t>
      </w:r>
      <w:r w:rsidR="003C6F5A">
        <w:t>à</w:t>
      </w:r>
      <w:r w:rsidR="003C6F5A" w:rsidRPr="00AA3110">
        <w:t xml:space="preserve"> del regime nazionale</w:t>
      </w:r>
      <w:r w:rsidR="003C6F5A">
        <w:t xml:space="preserve"> </w:t>
      </w:r>
      <w:r w:rsidR="003C6F5A" w:rsidRPr="00AA3110">
        <w:t>alle norme  del  diritto  primario  dell'Unione  e,  in  particolare,</w:t>
      </w:r>
      <w:r w:rsidR="003C6F5A">
        <w:t xml:space="preserve"> </w:t>
      </w:r>
      <w:r w:rsidR="003C6F5A" w:rsidRPr="00AA3110">
        <w:t>all'art. 43 dell'allora Trattato</w:t>
      </w:r>
      <w:r w:rsidR="00347AF4">
        <w:t xml:space="preserve"> </w:t>
      </w:r>
      <w:r w:rsidR="003C6F5A" w:rsidRPr="00AA3110">
        <w:t>CE (ora art. 49 del TFUE), in</w:t>
      </w:r>
      <w:r w:rsidR="003C6F5A">
        <w:t xml:space="preserve"> </w:t>
      </w:r>
      <w:r w:rsidR="003C6F5A" w:rsidRPr="00AA3110">
        <w:t>materia di  libert</w:t>
      </w:r>
      <w:r w:rsidR="003C6F5A">
        <w:t>à</w:t>
      </w:r>
      <w:r w:rsidR="003C6F5A" w:rsidRPr="00AA3110">
        <w:t xml:space="preserve">  di  stabilimento,  in  ragione  della  barriera</w:t>
      </w:r>
      <w:r w:rsidR="003C6F5A">
        <w:t xml:space="preserve"> </w:t>
      </w:r>
      <w:r w:rsidR="003C6F5A" w:rsidRPr="00AA3110">
        <w:t>all'ingresso che tale regime introduceva nei confronti delle  imprese</w:t>
      </w:r>
      <w:r w:rsidR="003C6F5A">
        <w:t xml:space="preserve"> </w:t>
      </w:r>
      <w:r w:rsidR="003C6F5A" w:rsidRPr="00AA3110">
        <w:t>dell'Unione europea, alle quali non  era  concessa la possibilit</w:t>
      </w:r>
      <w:r w:rsidR="003C6F5A">
        <w:t>à</w:t>
      </w:r>
      <w:r w:rsidR="003C6F5A" w:rsidRPr="00AA3110">
        <w:t>,</w:t>
      </w:r>
      <w:r w:rsidR="003C6F5A">
        <w:t xml:space="preserve"> </w:t>
      </w:r>
      <w:r w:rsidR="003C6F5A" w:rsidRPr="00AA3110">
        <w:t>alla scadenza della concessione, di prendere  il  posto  del  vecchio</w:t>
      </w:r>
      <w:r w:rsidR="003C6F5A">
        <w:t xml:space="preserve"> </w:t>
      </w:r>
      <w:r w:rsidR="003C6F5A" w:rsidRPr="00AA3110">
        <w:t>gestore</w:t>
      </w:r>
      <w:r w:rsidR="003C6F5A">
        <w:t xml:space="preserve">, senza invocare la direttiva </w:t>
      </w:r>
      <w:r w:rsidR="006D219E" w:rsidRPr="006D219E">
        <w:rPr>
          <w:rFonts w:cstheme="minorHAnsi"/>
        </w:rPr>
        <w:t>2006/123/CE del Parlamento europeo e del Consiglio del 12 dicembre 2006, relativa ai servizi nel mercato interno (c.d. direttiva “Bolkestein”)</w:t>
      </w:r>
      <w:r w:rsidR="006D219E">
        <w:rPr>
          <w:rFonts w:cstheme="minorHAnsi"/>
        </w:rPr>
        <w:t>, la cui entrata in vigore negli ordinamenti interni è stata stabilita a decorrere dal 28 dicembre 2009, come sancito dall’art.44 della stessa direttiva “servizi”;</w:t>
      </w:r>
    </w:p>
    <w:p w14:paraId="1D69F033" w14:textId="3C5AFA09" w:rsidR="00497AE4" w:rsidRDefault="006D219E" w:rsidP="00497AE4">
      <w:pPr>
        <w:jc w:val="both"/>
      </w:pPr>
      <w:r>
        <w:rPr>
          <w:rFonts w:cstheme="minorHAnsi"/>
        </w:rPr>
        <w:t xml:space="preserve"> Considerato che l</w:t>
      </w:r>
      <w:r w:rsidR="00EF4F76" w:rsidRPr="00AA3110">
        <w:t xml:space="preserve">a Commissione </w:t>
      </w:r>
      <w:r>
        <w:t xml:space="preserve">europea con la lettera di messa in mora del 9 febbraio 2009 aveva chiesto allo Stato italiano </w:t>
      </w:r>
      <w:r w:rsidR="00EF4F76" w:rsidRPr="00AA3110">
        <w:t>di modificare le disposizioni</w:t>
      </w:r>
      <w:r>
        <w:t xml:space="preserve"> </w:t>
      </w:r>
      <w:r w:rsidR="00EF4F76" w:rsidRPr="00AA3110">
        <w:t>normative nazionali che producevano tale effetto, ossia l'art. 37 del</w:t>
      </w:r>
      <w:r>
        <w:t xml:space="preserve"> </w:t>
      </w:r>
      <w:r w:rsidR="00EF4F76" w:rsidRPr="00AA3110">
        <w:t>codice della navigazione e l'art. 1, comma  2,  del  decreto-legge 5</w:t>
      </w:r>
      <w:r>
        <w:t xml:space="preserve">  </w:t>
      </w:r>
      <w:r w:rsidR="00EF4F76" w:rsidRPr="00AA3110">
        <w:t>ottobre 1993, n. 400 - le quali prevedevano, rispettivamente, il c.d.</w:t>
      </w:r>
      <w:r>
        <w:t xml:space="preserve"> </w:t>
      </w:r>
      <w:r w:rsidR="00EF4F76" w:rsidRPr="00AA3110">
        <w:t>diritto  d'insistenza  del  concessionario  uscente e il rinnovo</w:t>
      </w:r>
      <w:r>
        <w:t xml:space="preserve"> </w:t>
      </w:r>
      <w:r w:rsidR="00EF4F76" w:rsidRPr="00AA3110">
        <w:t xml:space="preserve">automatico delle concessioni </w:t>
      </w:r>
      <w:r>
        <w:t>sessennali</w:t>
      </w:r>
      <w:r w:rsidR="00EF4F76" w:rsidRPr="00AA3110">
        <w:t xml:space="preserve">  -  cos</w:t>
      </w:r>
      <w:r>
        <w:t xml:space="preserve">ì </w:t>
      </w:r>
      <w:r w:rsidR="00EF4F76" w:rsidRPr="00AA3110">
        <w:t>da passare a un</w:t>
      </w:r>
      <w:r>
        <w:t xml:space="preserve"> </w:t>
      </w:r>
      <w:r w:rsidR="00EF4F76" w:rsidRPr="00AA3110">
        <w:t>sistema basato su concessioni  di  durata  massima  prestabilita, da</w:t>
      </w:r>
      <w:r w:rsidR="00497AE4">
        <w:t xml:space="preserve"> </w:t>
      </w:r>
      <w:r w:rsidR="00EF4F76" w:rsidRPr="00AA3110">
        <w:t>attribuire</w:t>
      </w:r>
      <w:r w:rsidR="00497AE4">
        <w:t xml:space="preserve"> </w:t>
      </w:r>
      <w:r w:rsidR="00EF4F76" w:rsidRPr="00AA3110">
        <w:t>mediante procedure selettive trasparenti e non</w:t>
      </w:r>
      <w:r w:rsidR="00497AE4">
        <w:t xml:space="preserve"> </w:t>
      </w:r>
      <w:r w:rsidR="00EF4F76" w:rsidRPr="00AA3110">
        <w:t>discriminatorie</w:t>
      </w:r>
      <w:r w:rsidR="00497AE4">
        <w:t>;</w:t>
      </w:r>
    </w:p>
    <w:p w14:paraId="4A52FA7C" w14:textId="77777777" w:rsidR="00497AE4" w:rsidRDefault="00497AE4" w:rsidP="00497AE4">
      <w:pPr>
        <w:jc w:val="both"/>
      </w:pPr>
      <w:r>
        <w:t xml:space="preserve"> Considerato che, p</w:t>
      </w:r>
      <w:r w:rsidR="00EF4F76" w:rsidRPr="00AA3110">
        <w:t>er  superare  le  contestazioni  della  Commissione</w:t>
      </w:r>
      <w:r>
        <w:t xml:space="preserve"> europea nella lettera di messa in mora del 9 febbraio 2009</w:t>
      </w:r>
      <w:r w:rsidR="00EF4F76" w:rsidRPr="00AA3110">
        <w:t xml:space="preserve">, </w:t>
      </w:r>
      <w:r>
        <w:t>é</w:t>
      </w:r>
      <w:r w:rsidR="00EF4F76" w:rsidRPr="00AA3110">
        <w:t xml:space="preserve"> stata</w:t>
      </w:r>
      <w:r>
        <w:t xml:space="preserve"> </w:t>
      </w:r>
      <w:r w:rsidR="00EF4F76" w:rsidRPr="00AA3110">
        <w:t>inserita, nell'art. 1, comma 18, del decreto-legge 30  dicembre 2009</w:t>
      </w:r>
      <w:r>
        <w:t xml:space="preserve"> </w:t>
      </w:r>
      <w:r w:rsidR="00EF4F76" w:rsidRPr="00AA3110">
        <w:t>n. 194 (c.d. «mille proroghe»), una disposizione che</w:t>
      </w:r>
      <w:r>
        <w:t xml:space="preserve"> </w:t>
      </w:r>
      <w:r w:rsidR="00EF4F76" w:rsidRPr="00AA3110">
        <w:t>ha abrogato</w:t>
      </w:r>
      <w:r>
        <w:t xml:space="preserve"> </w:t>
      </w:r>
      <w:r w:rsidR="00EF4F76" w:rsidRPr="00AA3110">
        <w:t>l'art. 37, comma 2, del codice della navigazione (ossia la norma che</w:t>
      </w:r>
      <w:r>
        <w:t xml:space="preserve"> </w:t>
      </w:r>
      <w:r w:rsidR="00EF4F76" w:rsidRPr="00AA3110">
        <w:t>prevedeva  il  diritto  d'insistenza), nel  contempo</w:t>
      </w:r>
      <w:r>
        <w:t xml:space="preserve"> </w:t>
      </w:r>
      <w:r w:rsidR="00EF4F76" w:rsidRPr="00AA3110">
        <w:t>prorogando</w:t>
      </w:r>
      <w:r>
        <w:t xml:space="preserve"> </w:t>
      </w:r>
      <w:r w:rsidR="00EF4F76" w:rsidRPr="00AA3110">
        <w:t>le</w:t>
      </w:r>
      <w:r>
        <w:t xml:space="preserve"> </w:t>
      </w:r>
      <w:r w:rsidR="00EF4F76" w:rsidRPr="00AA3110">
        <w:t>concessioni in essere al 31 dicembre  2015,</w:t>
      </w:r>
      <w:r>
        <w:t xml:space="preserve"> </w:t>
      </w:r>
      <w:r w:rsidR="00EF4F76" w:rsidRPr="00AA3110">
        <w:t>onde  consentire, nelle</w:t>
      </w:r>
      <w:r>
        <w:t xml:space="preserve"> </w:t>
      </w:r>
      <w:r w:rsidR="00EF4F76" w:rsidRPr="00AA3110">
        <w:t>more di tale scadenza, l'adozione di una normativa che  disciplinasse</w:t>
      </w:r>
      <w:r>
        <w:t xml:space="preserve"> </w:t>
      </w:r>
      <w:r w:rsidR="00EF4F76" w:rsidRPr="00AA3110">
        <w:t>l'affidamento</w:t>
      </w:r>
      <w:r>
        <w:t xml:space="preserve"> </w:t>
      </w:r>
      <w:r w:rsidR="00EF4F76" w:rsidRPr="00AA3110">
        <w:t>delle concessioni attraverso procedure di evidenza</w:t>
      </w:r>
      <w:r>
        <w:t xml:space="preserve"> </w:t>
      </w:r>
      <w:r w:rsidR="00EF4F76" w:rsidRPr="00AA3110">
        <w:t>pubblica</w:t>
      </w:r>
      <w:r>
        <w:t>; e che, tuttavia, i</w:t>
      </w:r>
      <w:r w:rsidR="00EF4F76" w:rsidRPr="00AA3110">
        <w:t>n fase di conversione del  decreto-legge</w:t>
      </w:r>
      <w:r>
        <w:t xml:space="preserve"> n.194/2009</w:t>
      </w:r>
      <w:r w:rsidR="00EF4F76" w:rsidRPr="00AA3110">
        <w:t>, in  questa</w:t>
      </w:r>
      <w:r>
        <w:t xml:space="preserve"> </w:t>
      </w:r>
      <w:r w:rsidR="00EF4F76" w:rsidRPr="00AA3110">
        <w:t>stessa disposizione fu inserito dal Parlamento un inciso  che  faceva</w:t>
      </w:r>
      <w:r>
        <w:t xml:space="preserve"> </w:t>
      </w:r>
      <w:r w:rsidR="00EF4F76" w:rsidRPr="00AA3110">
        <w:t>salva  l'applicabilit</w:t>
      </w:r>
      <w:r>
        <w:t>à</w:t>
      </w:r>
      <w:r w:rsidR="00EF4F76" w:rsidRPr="00AA3110">
        <w:t xml:space="preserve"> </w:t>
      </w:r>
      <w:r>
        <w:t>d</w:t>
      </w:r>
      <w:r w:rsidR="00EF4F76" w:rsidRPr="00AA3110">
        <w:t>el disposto dell'art. 1, comma  2,  del</w:t>
      </w:r>
      <w:r>
        <w:t xml:space="preserve"> </w:t>
      </w:r>
      <w:r w:rsidR="00EF4F76" w:rsidRPr="00AA3110">
        <w:t>decreto-legge n. 400 del 1993, il quale prevedeva un meccanismo di</w:t>
      </w:r>
      <w:r>
        <w:t xml:space="preserve"> </w:t>
      </w:r>
      <w:r w:rsidR="00EF4F76" w:rsidRPr="00AA3110">
        <w:t>rinnovo automatico delle concessioni sessennali</w:t>
      </w:r>
      <w:r>
        <w:t>;</w:t>
      </w:r>
    </w:p>
    <w:p w14:paraId="44B4AB70" w14:textId="60A02619" w:rsidR="00EF4F76" w:rsidRPr="00AA3110" w:rsidRDefault="00497AE4" w:rsidP="00DC7EDE">
      <w:pPr>
        <w:jc w:val="both"/>
      </w:pPr>
      <w:r>
        <w:t xml:space="preserve">  </w:t>
      </w:r>
      <w:r w:rsidR="00894C68">
        <w:t>Rilevato che l</w:t>
      </w:r>
      <w:r w:rsidR="00EF4F76" w:rsidRPr="00AA3110">
        <w:t>a Commissione europea ha comunicato, il 5  maggio  2010,</w:t>
      </w:r>
      <w:r w:rsidR="00894C68">
        <w:t xml:space="preserve"> </w:t>
      </w:r>
      <w:r w:rsidR="00EF4F76" w:rsidRPr="00AA3110">
        <w:t xml:space="preserve">una lettera di c.d. «messa in mora complementare» </w:t>
      </w:r>
      <w:r w:rsidR="00894C68">
        <w:t xml:space="preserve">relativa alla procedura di infrazione </w:t>
      </w:r>
      <w:r w:rsidR="00894C68" w:rsidRPr="00AA3110">
        <w:t>n. 2008/4908</w:t>
      </w:r>
      <w:r w:rsidR="00894C68">
        <w:t xml:space="preserve"> </w:t>
      </w:r>
      <w:r w:rsidR="00EF4F76" w:rsidRPr="00AA3110">
        <w:t>con cui,</w:t>
      </w:r>
      <w:r w:rsidR="00894C68">
        <w:t xml:space="preserve"> </w:t>
      </w:r>
      <w:r w:rsidR="00EF4F76" w:rsidRPr="00AA3110">
        <w:t>oltre</w:t>
      </w:r>
      <w:r w:rsidR="00894C68">
        <w:t xml:space="preserve"> </w:t>
      </w:r>
      <w:r w:rsidR="00EF4F76" w:rsidRPr="00AA3110">
        <w:t>ad</w:t>
      </w:r>
      <w:r w:rsidR="00894C68">
        <w:t xml:space="preserve"> </w:t>
      </w:r>
      <w:r w:rsidR="00EF4F76" w:rsidRPr="00AA3110">
        <w:t>agganciare  l'incompatibilit</w:t>
      </w:r>
      <w:r w:rsidR="00894C68">
        <w:t>à</w:t>
      </w:r>
      <w:r w:rsidR="00EF4F76" w:rsidRPr="00AA3110">
        <w:t xml:space="preserve"> della  normativa  dell'Unione anche</w:t>
      </w:r>
      <w:r w:rsidR="00894C68">
        <w:t xml:space="preserve"> </w:t>
      </w:r>
      <w:r w:rsidR="00EF4F76" w:rsidRPr="00AA3110">
        <w:t>all'art. 12 della direttiva 2006/123/CE, di  cui  nel  frattempo era  scaduto</w:t>
      </w:r>
      <w:r w:rsidR="00894C68">
        <w:t xml:space="preserve"> </w:t>
      </w:r>
      <w:r w:rsidR="00EF4F76" w:rsidRPr="00AA3110">
        <w:t xml:space="preserve">il </w:t>
      </w:r>
      <w:r w:rsidR="00894C68">
        <w:t xml:space="preserve">citato </w:t>
      </w:r>
      <w:r w:rsidR="00EF4F76" w:rsidRPr="00AA3110">
        <w:t>termine di</w:t>
      </w:r>
      <w:r w:rsidR="00894C68">
        <w:t xml:space="preserve"> </w:t>
      </w:r>
      <w:r w:rsidR="00EF4F76" w:rsidRPr="00AA3110">
        <w:t>recepimento (28 dicembre 2009), ha chiesto di  correggere  l'art.  1,</w:t>
      </w:r>
      <w:r w:rsidR="00894C68">
        <w:t xml:space="preserve"> </w:t>
      </w:r>
      <w:r w:rsidR="00EF4F76" w:rsidRPr="00AA3110">
        <w:t>comma 18, del decreto  «mille  proroghe», espungendo il rinvio al</w:t>
      </w:r>
      <w:r w:rsidR="00894C68">
        <w:t xml:space="preserve"> </w:t>
      </w:r>
      <w:r w:rsidR="00EF4F76" w:rsidRPr="00AA3110">
        <w:t>meccanismo di rinnovo automatico previsto  dal  citato  decreto-legge</w:t>
      </w:r>
      <w:r w:rsidR="00894C68">
        <w:t xml:space="preserve"> </w:t>
      </w:r>
      <w:r w:rsidR="00EF4F76" w:rsidRPr="00AA3110">
        <w:t>400/1993</w:t>
      </w:r>
      <w:r w:rsidR="00894C68">
        <w:t>; in particolare, n</w:t>
      </w:r>
      <w:r w:rsidR="00EF4F76" w:rsidRPr="00AA3110">
        <w:t>ella lettera di messa in mora complementare,  la  Commissione  -</w:t>
      </w:r>
      <w:r w:rsidR="00894C68">
        <w:t xml:space="preserve"> </w:t>
      </w:r>
      <w:r w:rsidR="00EF4F76" w:rsidRPr="00AA3110">
        <w:t>nel ribadire la contrariet</w:t>
      </w:r>
      <w:r w:rsidR="00894C68">
        <w:t>à</w:t>
      </w:r>
      <w:r w:rsidR="00EF4F76" w:rsidRPr="00AA3110">
        <w:t xml:space="preserve"> al Trattato dei meccanismi di proroga</w:t>
      </w:r>
      <w:r w:rsidR="00894C68">
        <w:t xml:space="preserve"> </w:t>
      </w:r>
      <w:r w:rsidR="00EF4F76" w:rsidRPr="00AA3110">
        <w:t>automatica o di preferenza del concessionario uscente - ha messo in</w:t>
      </w:r>
      <w:r w:rsidR="00894C68">
        <w:t xml:space="preserve"> </w:t>
      </w:r>
      <w:r w:rsidR="00EF4F76" w:rsidRPr="00AA3110">
        <w:t>evidenza che l'art. 12  della  direttiva  Bolkestein  prescrive  che,</w:t>
      </w:r>
      <w:r w:rsidR="00894C68">
        <w:t xml:space="preserve"> </w:t>
      </w:r>
      <w:r w:rsidR="00EF4F76" w:rsidRPr="00AA3110">
        <w:t>qualora il numero di «autorizzazioni» disponibili per l'esercizio  di</w:t>
      </w:r>
      <w:r w:rsidR="00894C68">
        <w:t xml:space="preserve"> </w:t>
      </w:r>
      <w:r w:rsidR="00EF4F76" w:rsidRPr="00AA3110">
        <w:t>un'attivit</w:t>
      </w:r>
      <w:r w:rsidR="00894C68">
        <w:t>à</w:t>
      </w:r>
      <w:r w:rsidR="00EF4F76" w:rsidRPr="00AA3110">
        <w:t xml:space="preserve"> economica sia limitato per  via  della  scarsit</w:t>
      </w:r>
      <w:r w:rsidR="00DC7EDE">
        <w:t>à</w:t>
      </w:r>
      <w:r w:rsidR="00EF4F76" w:rsidRPr="00AA3110">
        <w:t xml:space="preserve"> delle</w:t>
      </w:r>
      <w:r w:rsidR="00DC7EDE">
        <w:t xml:space="preserve"> </w:t>
      </w:r>
      <w:r w:rsidR="00EF4F76" w:rsidRPr="00AA3110">
        <w:t>risorse naturali o  delle capacit</w:t>
      </w:r>
      <w:r w:rsidR="00DC7EDE">
        <w:t>à</w:t>
      </w:r>
      <w:r w:rsidR="00EF4F76" w:rsidRPr="00AA3110">
        <w:t xml:space="preserve"> tecniche utilizzabili, queste</w:t>
      </w:r>
      <w:r w:rsidR="00DC7EDE">
        <w:t xml:space="preserve"> </w:t>
      </w:r>
      <w:r w:rsidR="00EF4F76" w:rsidRPr="00AA3110">
        <w:t>siano assentite attraverso  procedure di selezione che assicurino</w:t>
      </w:r>
      <w:r w:rsidR="00DC7EDE">
        <w:t xml:space="preserve"> </w:t>
      </w:r>
      <w:r w:rsidR="00EF4F76" w:rsidRPr="00AA3110">
        <w:t>imparzialit</w:t>
      </w:r>
      <w:r w:rsidR="00DC7EDE">
        <w:t xml:space="preserve">à </w:t>
      </w:r>
      <w:r w:rsidR="00EF4F76" w:rsidRPr="00AA3110">
        <w:t>e trasparenza e prevedano un'adeguata pubblicit</w:t>
      </w:r>
      <w:r w:rsidR="00DC7EDE">
        <w:t xml:space="preserve">à </w:t>
      </w:r>
      <w:r w:rsidR="00EF4F76" w:rsidRPr="00AA3110">
        <w:t>dell'avvio della sua procedura e del suo svolgimento</w:t>
      </w:r>
      <w:r w:rsidR="00DC7EDE">
        <w:t>;</w:t>
      </w:r>
      <w:r w:rsidR="00EF4F76" w:rsidRPr="00AA3110">
        <w:t xml:space="preserve"> </w:t>
      </w:r>
      <w:r w:rsidR="00DC7EDE">
        <w:t>q</w:t>
      </w:r>
      <w:r w:rsidR="00EF4F76" w:rsidRPr="00AA3110">
        <w:t>uesto articolo</w:t>
      </w:r>
      <w:r w:rsidR="00DC7EDE">
        <w:t xml:space="preserve"> </w:t>
      </w:r>
      <w:r w:rsidR="00EF4F76" w:rsidRPr="00AA3110">
        <w:t>vieta inoltre, al secondo paragrafo, il rinnovo automatico di tali</w:t>
      </w:r>
      <w:r w:rsidR="00DC7EDE">
        <w:t xml:space="preserve"> </w:t>
      </w:r>
      <w:r w:rsidR="00EF4F76" w:rsidRPr="00AA3110">
        <w:t>autorizzazioni o l'attribuzione di qualsiasi "vantaggio" al  titolare</w:t>
      </w:r>
      <w:r w:rsidR="00DC7EDE">
        <w:t xml:space="preserve"> </w:t>
      </w:r>
      <w:r w:rsidR="00EF4F76" w:rsidRPr="00AA3110">
        <w:t>uscente o a persone che si trovino in particolari rapporti  con  esso</w:t>
      </w:r>
      <w:r w:rsidR="00DC7EDE">
        <w:t>;</w:t>
      </w:r>
    </w:p>
    <w:p w14:paraId="71CA613A" w14:textId="25CDE57F" w:rsidR="00DC7EDE" w:rsidRDefault="00EF4F76" w:rsidP="00DC7EDE">
      <w:pPr>
        <w:jc w:val="both"/>
      </w:pPr>
      <w:r w:rsidRPr="00AA3110">
        <w:t xml:space="preserve">   </w:t>
      </w:r>
      <w:r w:rsidR="00DC7EDE">
        <w:t>Considerato che, p</w:t>
      </w:r>
      <w:r w:rsidRPr="00AA3110">
        <w:t>er superare definitivamente le contestazioni della Commissione</w:t>
      </w:r>
      <w:r w:rsidR="00DC7EDE">
        <w:t xml:space="preserve"> europea</w:t>
      </w:r>
      <w:r w:rsidRPr="00AA3110">
        <w:t>,</w:t>
      </w:r>
      <w:r w:rsidR="00DC7EDE">
        <w:t xml:space="preserve"> é</w:t>
      </w:r>
      <w:r w:rsidRPr="00AA3110">
        <w:t xml:space="preserve"> stato quindi</w:t>
      </w:r>
      <w:r w:rsidR="00DC7EDE">
        <w:t xml:space="preserve"> a</w:t>
      </w:r>
      <w:r w:rsidRPr="00AA3110">
        <w:t>pprovato, in seno alla legge 15 dicembre  2011,  n.</w:t>
      </w:r>
      <w:r w:rsidR="00DC7EDE">
        <w:t xml:space="preserve"> </w:t>
      </w:r>
      <w:r w:rsidRPr="00AA3110">
        <w:t xml:space="preserve">217 (legge comunitaria 2010), un art. 11 («Modifiche al </w:t>
      </w:r>
      <w:r w:rsidRPr="00AA3110">
        <w:lastRenderedPageBreak/>
        <w:t>decreto-legge</w:t>
      </w:r>
      <w:r w:rsidR="00DC7EDE">
        <w:t xml:space="preserve"> </w:t>
      </w:r>
      <w:r w:rsidRPr="00AA3110">
        <w:t>5 ottobre 1993, n. 400, convertito, con modificazioni, dalla legge  4</w:t>
      </w:r>
      <w:r w:rsidR="00DC7EDE">
        <w:t xml:space="preserve"> </w:t>
      </w:r>
      <w:r w:rsidRPr="00AA3110">
        <w:t>dicembre 1993, n. 494. Procedura d'infrazione n. 2008/4908. Delega al</w:t>
      </w:r>
      <w:r w:rsidR="00DC7EDE">
        <w:t xml:space="preserve"> </w:t>
      </w:r>
      <w:r w:rsidRPr="00AA3110">
        <w:t>Governo in materia  di  concessioni  demaniali  marittime»),  che ha</w:t>
      </w:r>
      <w:r w:rsidR="00DC7EDE">
        <w:t xml:space="preserve"> </w:t>
      </w:r>
      <w:r w:rsidRPr="00AA3110">
        <w:t>eliminato ogni rinvio al regime del rinnovo automatico delle</w:t>
      </w:r>
      <w:r w:rsidR="00DC7EDE">
        <w:t xml:space="preserve"> </w:t>
      </w:r>
      <w:r w:rsidRPr="00AA3110">
        <w:t>concessioni</w:t>
      </w:r>
      <w:r w:rsidR="00DC7EDE">
        <w:t>, con conseguente ar</w:t>
      </w:r>
      <w:r w:rsidRPr="00AA3110">
        <w:t>chiviazione della procedura di infrazione</w:t>
      </w:r>
      <w:r w:rsidR="00DC7EDE">
        <w:t xml:space="preserve"> </w:t>
      </w:r>
      <w:r w:rsidR="00DC7EDE" w:rsidRPr="00AA3110">
        <w:t>n. 2008/4908</w:t>
      </w:r>
      <w:r w:rsidRPr="00AA3110">
        <w:t>,</w:t>
      </w:r>
      <w:r w:rsidR="00DC7EDE">
        <w:t xml:space="preserve"> </w:t>
      </w:r>
      <w:r w:rsidRPr="00AA3110">
        <w:t>avvenuta con decisione della Commissione del 27 febbraio 2012</w:t>
      </w:r>
      <w:r w:rsidR="00DC7EDE">
        <w:t>;</w:t>
      </w:r>
    </w:p>
    <w:p w14:paraId="5BD89532" w14:textId="693883CC" w:rsidR="00EF4F76" w:rsidRDefault="00DC7EDE" w:rsidP="00DC7EDE">
      <w:pPr>
        <w:jc w:val="both"/>
      </w:pPr>
      <w:r>
        <w:t xml:space="preserve"> Rilevato che l</w:t>
      </w:r>
      <w:r w:rsidR="00EF4F76" w:rsidRPr="00AA3110">
        <w:t xml:space="preserve">'art. 11 della </w:t>
      </w:r>
      <w:r>
        <w:t xml:space="preserve">citata </w:t>
      </w:r>
      <w:r w:rsidR="00EF4F76" w:rsidRPr="00AA3110">
        <w:t>legge comunitaria 2010 conferiva anche una delega</w:t>
      </w:r>
      <w:r>
        <w:t xml:space="preserve"> </w:t>
      </w:r>
      <w:r w:rsidR="00EF4F76" w:rsidRPr="00AA3110">
        <w:t>legislativa per la revisione e il riordino della normativa  relativa</w:t>
      </w:r>
      <w:r>
        <w:t xml:space="preserve"> </w:t>
      </w:r>
      <w:r w:rsidR="00EF4F76" w:rsidRPr="00AA3110">
        <w:t>alle concessioni demaniali  marittime,  ma  il  relativo  termine  di</w:t>
      </w:r>
      <w:r>
        <w:t xml:space="preserve"> </w:t>
      </w:r>
      <w:r w:rsidR="00EF4F76" w:rsidRPr="00AA3110">
        <w:t xml:space="preserve">quindici mesi </w:t>
      </w:r>
      <w:r>
        <w:t>è</w:t>
      </w:r>
      <w:r w:rsidR="00EF4F76" w:rsidRPr="00AA3110">
        <w:t xml:space="preserve"> spirato senza che la delega fosse esercitata</w:t>
      </w:r>
      <w:r>
        <w:t xml:space="preserve">, in quanto </w:t>
      </w:r>
      <w:r w:rsidR="00EF4F76" w:rsidRPr="00AA3110">
        <w:t>con l'art. 34-duodecies</w:t>
      </w:r>
      <w:r>
        <w:t xml:space="preserve"> </w:t>
      </w:r>
      <w:r w:rsidR="00EF4F76" w:rsidRPr="00AA3110">
        <w:t>del decreto-legge 18 ottobre 2012, n. 179 (inserito dalla legge  di</w:t>
      </w:r>
      <w:r>
        <w:t xml:space="preserve"> </w:t>
      </w:r>
      <w:r w:rsidR="00EF4F76" w:rsidRPr="00AA3110">
        <w:t>conversione del 17 dicembre 2012, n. 221), il termine di durata delle</w:t>
      </w:r>
      <w:r>
        <w:t xml:space="preserve"> </w:t>
      </w:r>
      <w:r w:rsidR="00EF4F76" w:rsidRPr="00AA3110">
        <w:t>concessioni demaniali marittime a uso turistico-ricreativo in  essere</w:t>
      </w:r>
      <w:r w:rsidR="006109EE">
        <w:t xml:space="preserve"> è </w:t>
      </w:r>
      <w:r w:rsidR="00EF4F76" w:rsidRPr="00AA3110">
        <w:t>stato prorogato al 31 dicembre 2020</w:t>
      </w:r>
      <w:r>
        <w:t>;</w:t>
      </w:r>
    </w:p>
    <w:p w14:paraId="68F38671" w14:textId="77777777" w:rsidR="006109EE" w:rsidRDefault="00005BFB" w:rsidP="00005BFB">
      <w:pPr>
        <w:jc w:val="both"/>
      </w:pPr>
      <w:r>
        <w:t xml:space="preserve"> </w:t>
      </w:r>
      <w:r w:rsidR="00AB43E9">
        <w:t>Considerato che, p</w:t>
      </w:r>
      <w:r w:rsidRPr="00005BFB">
        <w:t>er regolare specificamente le concessioni di servizi o di lavori ed uscire dalle incertezze create dalla direttiva servizi, il legislatore dell’Unione ha approvato la direttiva 2014/23/UE del Parlamento europeo e del Consiglio, del 23 febbraio 2014, sull’aggiudicazione dei contratti di concessione di servizi o di lavori, che all’art.1 paragrafo 1 prevede: «</w:t>
      </w:r>
      <w:r w:rsidRPr="00005BFB">
        <w:rPr>
          <w:i/>
          <w:iCs/>
        </w:rPr>
        <w:t>1. La presente direttiva stabilisce le norme applicabili alle procedure di aggiudicazione di contratti di concessione indette da amministrazioni aggiudicatrici ed enti aggiudicatori il cui valore stimato non è inferiore alla soglia indicata all’articolo 8</w:t>
      </w:r>
      <w:r w:rsidRPr="00005BFB">
        <w:t xml:space="preserve">», pari </w:t>
      </w:r>
      <w:r w:rsidR="006109EE">
        <w:t xml:space="preserve">attualmente </w:t>
      </w:r>
      <w:r w:rsidRPr="00005BFB">
        <w:t xml:space="preserve">ad € </w:t>
      </w:r>
      <w:r w:rsidR="006109EE" w:rsidRPr="006109EE">
        <w:t>5</w:t>
      </w:r>
      <w:r w:rsidR="006109EE">
        <w:t>.</w:t>
      </w:r>
      <w:r w:rsidR="006109EE" w:rsidRPr="006109EE">
        <w:t>538</w:t>
      </w:r>
      <w:r w:rsidR="006109EE">
        <w:t>.</w:t>
      </w:r>
      <w:r w:rsidR="006109EE" w:rsidRPr="006109EE">
        <w:t>000</w:t>
      </w:r>
      <w:r w:rsidR="006109EE">
        <w:t xml:space="preserve">,00; </w:t>
      </w:r>
      <w:r w:rsidRPr="00005BFB">
        <w:t xml:space="preserve"> </w:t>
      </w:r>
    </w:p>
    <w:p w14:paraId="6F82F25A" w14:textId="0CA84B7A" w:rsidR="00005BFB" w:rsidRPr="00005BFB" w:rsidRDefault="006109EE" w:rsidP="00005BFB">
      <w:pPr>
        <w:jc w:val="both"/>
      </w:pPr>
      <w:r>
        <w:t xml:space="preserve"> Rilevato che i</w:t>
      </w:r>
      <w:r w:rsidR="00005BFB" w:rsidRPr="00005BFB">
        <w:t>l considerando 15 della direttiva 2014/23/UE prevede l’esclusione delle concessioni balneari come concessioni di beni dal campo di applicazione della stessa direttiva “concessioni”: «</w:t>
      </w:r>
      <w:r w:rsidR="00005BFB" w:rsidRPr="00005BFB">
        <w:rPr>
          <w:i/>
          <w:iCs/>
        </w:rPr>
        <w:t>Inoltre, taluni accordi aventi per oggetto il diritto di un operatore economico di gestire determinati beni o risorse del demanio pubblico, in regime di diritto privato o pubblico, quali terreni o qualsiasi proprietà pubblica, in particolare nel settore dei porti marittimi o interni o degli aeroporti, mediante i quali lo Stato oppure l’amministrazione aggiudicatrice o l’ente aggiudicatore fissa unicamente le condizioni generali d’uso senza acquisire lavori o servizi specifici, non dovrebbero configurarsi come concessioni ai sensi della presente direttiva. Ciò vale di norma per i contratti di locazione di beni o terreni di natura pubblica che generalmente contengono i termini che regolano la presa di possesso da parte del conduttore, la destinazione d’uso del bene immobile, gli obblighi del locatore e del conduttore per quanto riguarda la manutenzione del bene immobile, la durata della locazione e la restituzione del possesso del bene immobile al locatore, il canone e le spese accessorie a carico del conduttore</w:t>
      </w:r>
      <w:r w:rsidR="00005BFB" w:rsidRPr="00005BFB">
        <w:t xml:space="preserve">». </w:t>
      </w:r>
    </w:p>
    <w:p w14:paraId="4E125CD9" w14:textId="6A3A9AD0" w:rsidR="00005BFB" w:rsidRPr="00005BFB" w:rsidRDefault="006109EE" w:rsidP="00005BFB">
      <w:pPr>
        <w:jc w:val="both"/>
      </w:pPr>
      <w:r>
        <w:t xml:space="preserve"> Considerato, pertanto, che l</w:t>
      </w:r>
      <w:r w:rsidR="00005BFB" w:rsidRPr="00005BFB">
        <w:t>a proroga legislativa fino al 31.12.2020 disposta dal</w:t>
      </w:r>
      <w:r>
        <w:t>l’</w:t>
      </w:r>
      <w:r w:rsidRPr="00AA3110">
        <w:t>art. 34-duodecies</w:t>
      </w:r>
      <w:r>
        <w:t xml:space="preserve"> </w:t>
      </w:r>
      <w:r w:rsidRPr="00AA3110">
        <w:t>del decreto-legge 18 ottobre 2012, n. 179</w:t>
      </w:r>
      <w:r>
        <w:t>, appariva gi</w:t>
      </w:r>
      <w:r w:rsidR="00005BFB" w:rsidRPr="00005BFB">
        <w:t xml:space="preserve">ustificata dal fatto che le concessioni </w:t>
      </w:r>
      <w:r>
        <w:t xml:space="preserve">demaniali marittime </w:t>
      </w:r>
      <w:r w:rsidR="00005BFB" w:rsidRPr="00005BFB">
        <w:t xml:space="preserve">erano </w:t>
      </w:r>
      <w:r>
        <w:t xml:space="preserve">da considerarsi </w:t>
      </w:r>
      <w:r w:rsidR="00005BFB" w:rsidRPr="00005BFB">
        <w:t>concessioni di beni e non di servizi</w:t>
      </w:r>
      <w:r>
        <w:t>, alla luce del considerando 15 della direttiva 2014/23/UE;</w:t>
      </w:r>
    </w:p>
    <w:p w14:paraId="10BD6211" w14:textId="1DF20A85" w:rsidR="00E54E0A" w:rsidRDefault="006109EE" w:rsidP="0093498F">
      <w:pPr>
        <w:jc w:val="both"/>
      </w:pPr>
      <w:r>
        <w:t xml:space="preserve"> Rilevato che la </w:t>
      </w:r>
      <w:r w:rsidR="00EF4F76" w:rsidRPr="00AA3110">
        <w:t xml:space="preserve">proroga ope legis </w:t>
      </w:r>
      <w:r w:rsidR="00F07746">
        <w:t xml:space="preserve">al 31.12.2020 </w:t>
      </w:r>
      <w:r w:rsidR="00EF4F76" w:rsidRPr="00AA3110">
        <w:t>ha costituito oggetto dei rinvii</w:t>
      </w:r>
      <w:r w:rsidR="00F07746">
        <w:t xml:space="preserve"> </w:t>
      </w:r>
      <w:r w:rsidR="00EF4F76" w:rsidRPr="00AA3110">
        <w:t>pregiudiziali disposti da due tribunali amministrativi regionali  (il</w:t>
      </w:r>
      <w:r w:rsidR="00F07746">
        <w:t xml:space="preserve"> </w:t>
      </w:r>
      <w:r w:rsidR="00EF4F76" w:rsidRPr="00AA3110">
        <w:t>T</w:t>
      </w:r>
      <w:r w:rsidR="00F07746">
        <w:t>AR</w:t>
      </w:r>
      <w:r w:rsidR="00EF4F76" w:rsidRPr="00AA3110">
        <w:t xml:space="preserve"> Lombardia e il T</w:t>
      </w:r>
      <w:r w:rsidR="00F07746">
        <w:t>AR</w:t>
      </w:r>
      <w:r w:rsidR="00EF4F76" w:rsidRPr="00AA3110">
        <w:t xml:space="preserve"> Sardegna) che,  in  sintesi, si sono</w:t>
      </w:r>
      <w:r w:rsidR="00F07746">
        <w:t xml:space="preserve"> </w:t>
      </w:r>
      <w:r w:rsidR="00EF4F76" w:rsidRPr="00AA3110">
        <w:t>interrogati  sulla  compatibilit</w:t>
      </w:r>
      <w:r w:rsidR="00F07746">
        <w:t>à</w:t>
      </w:r>
      <w:r w:rsidR="00EF4F76" w:rsidRPr="00AA3110">
        <w:t xml:space="preserve"> della stessa con i principi</w:t>
      </w:r>
      <w:r w:rsidR="00F07746">
        <w:t xml:space="preserve"> </w:t>
      </w:r>
      <w:r w:rsidR="00EF4F76" w:rsidRPr="00AA3110">
        <w:t>stabiliti nel Trattato e nel  diritto  derivato  dell'Unione  europea</w:t>
      </w:r>
      <w:r w:rsidR="00F07746">
        <w:t xml:space="preserve"> </w:t>
      </w:r>
      <w:r w:rsidR="00EF4F76" w:rsidRPr="00AA3110">
        <w:t>(segnatamente, nell'art. 12 della direttiva Bolkestein)</w:t>
      </w:r>
      <w:r w:rsidR="00F07746">
        <w:t xml:space="preserve"> e che la </w:t>
      </w:r>
      <w:r w:rsidR="00EF4F76" w:rsidRPr="00AA3110">
        <w:t>questione</w:t>
      </w:r>
      <w:r w:rsidR="00F07746">
        <w:t xml:space="preserve"> è</w:t>
      </w:r>
      <w:r w:rsidR="00EF4F76" w:rsidRPr="00AA3110">
        <w:t xml:space="preserve"> stata  definita  dalla  Corte  di  giustizia con</w:t>
      </w:r>
      <w:r w:rsidR="0009501F">
        <w:t xml:space="preserve"> </w:t>
      </w:r>
      <w:r w:rsidR="00EF4F76" w:rsidRPr="00AA3110">
        <w:t>sentenza del 14 luglio 2016, cause riunite C-458/14, Promoimpresa,  e</w:t>
      </w:r>
      <w:r w:rsidR="0009501F">
        <w:t xml:space="preserve"> </w:t>
      </w:r>
      <w:r w:rsidR="00EF4F76" w:rsidRPr="00AA3110">
        <w:t>C-67/15, Melis e a.</w:t>
      </w:r>
      <w:r w:rsidR="0009501F">
        <w:t xml:space="preserve"> (ECLI:EU:C:2016:558) (d’ora innanzi, sentenza Promoimpresa); che, in particolare, la Corte Ue nella sentenza Promoimpresa </w:t>
      </w:r>
      <w:r w:rsidR="0009501F" w:rsidRPr="0009501F">
        <w:t xml:space="preserve">ha precisato ai punti 44-48 l’esclusione delle concessioni </w:t>
      </w:r>
      <w:r w:rsidR="0009501F">
        <w:t>demaniali marittime e lacuali</w:t>
      </w:r>
      <w:r w:rsidR="0009501F" w:rsidRPr="0009501F">
        <w:t>, come concessioni di beni, sia dal campo di applicazione della direttiva 2006/123/CE sia da quello della direttiva 2014/23/Ue</w:t>
      </w:r>
      <w:r w:rsidR="0009501F">
        <w:t>, non prendendo così posizione</w:t>
      </w:r>
      <w:r w:rsidR="0009501F" w:rsidRPr="0009501F">
        <w:t xml:space="preserve">, come legislazione comunitaria applicabile alle fattispecie delle due cause pregiudiziali riunite, </w:t>
      </w:r>
      <w:r w:rsidR="0009501F">
        <w:t xml:space="preserve">il citato </w:t>
      </w:r>
      <w:r w:rsidR="0009501F" w:rsidRPr="0009501F">
        <w:t>art.44 della stessa direttiva 2006/123/CE, che dispone che gli Stati membri mettono in vigore le disposizioni legislative, regolamentari e amministrative necessarie per conformarsi alle disposizioni della direttiva servizi entro il 28 dicembre 2009</w:t>
      </w:r>
      <w:r w:rsidR="0009501F">
        <w:t>, nonostante</w:t>
      </w:r>
      <w:r w:rsidR="0009501F" w:rsidRPr="0009501F">
        <w:t xml:space="preserve">, come risulta rispettivamente dai punti 11 e 19 della sentenza Promoimpresa, le fattispecie di concessione lacuale (causa </w:t>
      </w:r>
      <w:r w:rsidR="0009501F" w:rsidRPr="0009501F">
        <w:lastRenderedPageBreak/>
        <w:t xml:space="preserve">C-458/14 Promoimpresa) e di concessioni marittime (causa C-67/15 Melis ed altri) </w:t>
      </w:r>
      <w:r w:rsidR="0009501F">
        <w:t>fossero</w:t>
      </w:r>
      <w:r w:rsidR="0009501F" w:rsidRPr="0009501F">
        <w:t xml:space="preserve"> iniziate prima del 28.11.2009</w:t>
      </w:r>
      <w:r w:rsidR="0009501F">
        <w:t>; che</w:t>
      </w:r>
      <w:r w:rsidR="00E54E0A">
        <w:t>, purtuttavia,</w:t>
      </w:r>
      <w:r w:rsidR="0009501F">
        <w:t xml:space="preserve"> </w:t>
      </w:r>
      <w:r w:rsidR="00EF4F76" w:rsidRPr="00AA3110">
        <w:t xml:space="preserve">la sentenza </w:t>
      </w:r>
      <w:r w:rsidR="00E54E0A">
        <w:t>Promoimpresa, valorizzando al punto 49 l’apprezzamento dei due giudici del rinvio dell’inclusione del</w:t>
      </w:r>
      <w:r w:rsidR="00EF4F76" w:rsidRPr="00AA3110">
        <w:t>le  concessioni  demaniali  in</w:t>
      </w:r>
      <w:r w:rsidR="00E54E0A">
        <w:t xml:space="preserve"> </w:t>
      </w:r>
      <w:r w:rsidR="00EF4F76" w:rsidRPr="00AA3110">
        <w:t xml:space="preserve">questione </w:t>
      </w:r>
      <w:r w:rsidR="00E54E0A">
        <w:t>nel</w:t>
      </w:r>
      <w:r w:rsidR="00EF4F76" w:rsidRPr="00AA3110">
        <w:t xml:space="preserve"> campo</w:t>
      </w:r>
      <w:r w:rsidR="00E54E0A">
        <w:t xml:space="preserve"> </w:t>
      </w:r>
      <w:r w:rsidR="00EF4F76" w:rsidRPr="00AA3110">
        <w:t>di applicazione della direttiva</w:t>
      </w:r>
      <w:r w:rsidR="00E54E0A">
        <w:t xml:space="preserve"> </w:t>
      </w:r>
      <w:r w:rsidR="00EF4F76" w:rsidRPr="00AA3110">
        <w:t>2006/123/CE e, in particolare, del suo art. 12 (pur  residuando,  nei</w:t>
      </w:r>
      <w:r w:rsidR="00E54E0A">
        <w:t xml:space="preserve"> </w:t>
      </w:r>
      <w:r w:rsidR="00EF4F76" w:rsidRPr="00AA3110">
        <w:t>casi di specie, un  apprezzamento  di  fatto  -  rimesso  al  giudice</w:t>
      </w:r>
      <w:r w:rsidR="00E54E0A">
        <w:t xml:space="preserve"> </w:t>
      </w:r>
      <w:r w:rsidR="00EF4F76" w:rsidRPr="00AA3110">
        <w:t>nazionale  -  circa  la  natura  «scarsa»,  o  meno,  della risorsa</w:t>
      </w:r>
      <w:r w:rsidR="00E54E0A">
        <w:t xml:space="preserve"> </w:t>
      </w:r>
      <w:r w:rsidR="00EF4F76" w:rsidRPr="00AA3110">
        <w:t>attribuita in concessione</w:t>
      </w:r>
      <w:r w:rsidR="00E54E0A">
        <w:t>; che i</w:t>
      </w:r>
      <w:r w:rsidR="00EF4F76" w:rsidRPr="00AA3110">
        <w:t xml:space="preserve">n particolare, </w:t>
      </w:r>
      <w:r w:rsidR="00E54E0A">
        <w:t xml:space="preserve">la Corte Ue ha ritenuto nella sentenza Promoimpresa </w:t>
      </w:r>
      <w:r w:rsidR="00EF4F76" w:rsidRPr="00AA3110">
        <w:t>che  le  concessioni  possano</w:t>
      </w:r>
      <w:r w:rsidR="00E54E0A">
        <w:t xml:space="preserve"> </w:t>
      </w:r>
      <w:r w:rsidR="00EF4F76" w:rsidRPr="00AA3110">
        <w:t>«essere   qualificate   come   «autorizzazioni»,  ai sensi delle</w:t>
      </w:r>
      <w:r w:rsidR="00E54E0A">
        <w:t xml:space="preserve"> </w:t>
      </w:r>
      <w:r w:rsidR="00EF4F76" w:rsidRPr="00AA3110">
        <w:t>disposizioni della direttiva 2006/123, in quanto  costituiscono  atti</w:t>
      </w:r>
      <w:r w:rsidR="00E54E0A">
        <w:t xml:space="preserve"> </w:t>
      </w:r>
      <w:r w:rsidR="00EF4F76" w:rsidRPr="00AA3110">
        <w:t>formali, qualunque sia la loro qualificazione nel diritto  nazionale,</w:t>
      </w:r>
      <w:r w:rsidR="00E54E0A">
        <w:t xml:space="preserve"> </w:t>
      </w:r>
      <w:r w:rsidR="00EF4F76" w:rsidRPr="00AA3110">
        <w:t>che i prestatori devono ottenere dalle autorit</w:t>
      </w:r>
      <w:r w:rsidR="00E54E0A">
        <w:t>à</w:t>
      </w:r>
      <w:r w:rsidR="00EF4F76" w:rsidRPr="00AA3110">
        <w:t xml:space="preserve"> nazionali al fine di</w:t>
      </w:r>
      <w:r w:rsidR="00E54E0A">
        <w:t xml:space="preserve"> </w:t>
      </w:r>
      <w:r w:rsidR="00EF4F76" w:rsidRPr="00AA3110">
        <w:t>poter esercitare la loro attivit</w:t>
      </w:r>
      <w:r w:rsidR="00E54E0A">
        <w:t>à</w:t>
      </w:r>
      <w:r w:rsidR="00EF4F76" w:rsidRPr="00AA3110">
        <w:t xml:space="preserve"> economica» (cfr.  punto  41)</w:t>
      </w:r>
      <w:r w:rsidR="00E54E0A">
        <w:t xml:space="preserve">; che la </w:t>
      </w:r>
      <w:r w:rsidR="00EF4F76" w:rsidRPr="00AA3110">
        <w:t>Corte  di  giustizia ha, peraltro, anche affermato che</w:t>
      </w:r>
      <w:r w:rsidR="00E54E0A">
        <w:t xml:space="preserve"> </w:t>
      </w:r>
      <w:r w:rsidR="00EF4F76" w:rsidRPr="00AA3110">
        <w:t>l'eventuale inapplicabilit</w:t>
      </w:r>
      <w:r w:rsidR="00E54E0A">
        <w:t>à</w:t>
      </w:r>
      <w:r w:rsidR="00EF4F76" w:rsidRPr="00AA3110">
        <w:t xml:space="preserve"> delle disposizioni della  direttiva non</w:t>
      </w:r>
      <w:r w:rsidR="00E54E0A">
        <w:t xml:space="preserve"> </w:t>
      </w:r>
      <w:r w:rsidR="00EF4F76" w:rsidRPr="00AA3110">
        <w:t>esimerebbe le autorit</w:t>
      </w:r>
      <w:r w:rsidR="00E54E0A">
        <w:t>à</w:t>
      </w:r>
      <w:r w:rsidR="00EF4F76" w:rsidRPr="00AA3110">
        <w:t xml:space="preserve"> concedenti dall'affidare le concessioni che</w:t>
      </w:r>
      <w:r w:rsidR="00E54E0A">
        <w:t xml:space="preserve"> </w:t>
      </w:r>
      <w:r w:rsidR="00EF4F76" w:rsidRPr="00AA3110">
        <w:t xml:space="preserve">abbiano un interesse transfrontaliero certo - che siano, </w:t>
      </w:r>
      <w:r w:rsidR="00E54E0A">
        <w:t>cioè</w:t>
      </w:r>
      <w:r w:rsidR="00EF4F76" w:rsidRPr="00AA3110">
        <w:t>, tali</w:t>
      </w:r>
      <w:r w:rsidR="00E54E0A">
        <w:t xml:space="preserve"> </w:t>
      </w:r>
      <w:r w:rsidR="00EF4F76" w:rsidRPr="00AA3110">
        <w:t>da  poter  ragionevolmente  suscitare  l'interesse  economico  di  un</w:t>
      </w:r>
      <w:r w:rsidR="00E54E0A">
        <w:t xml:space="preserve"> </w:t>
      </w:r>
      <w:r w:rsidR="00EF4F76" w:rsidRPr="00AA3110">
        <w:t>operatore economico situato in un altro Stato  membro  dell'Unione  -</w:t>
      </w:r>
      <w:r w:rsidR="00E54E0A">
        <w:t xml:space="preserve"> </w:t>
      </w:r>
      <w:r w:rsidR="00EF4F76" w:rsidRPr="00AA3110">
        <w:t>nel rispetto delle regole fondamentali del Trattato sul funzionamento</w:t>
      </w:r>
      <w:r w:rsidR="00E54E0A">
        <w:t xml:space="preserve"> </w:t>
      </w:r>
      <w:r w:rsidR="00EF4F76" w:rsidRPr="00AA3110">
        <w:t>dell'Unione</w:t>
      </w:r>
      <w:r w:rsidR="0093498F">
        <w:t xml:space="preserve"> </w:t>
      </w:r>
      <w:r w:rsidR="00EF4F76" w:rsidRPr="00AA3110">
        <w:t>europea</w:t>
      </w:r>
      <w:r w:rsidR="0093498F">
        <w:t xml:space="preserve"> </w:t>
      </w:r>
      <w:r w:rsidR="00EF4F76" w:rsidRPr="00AA3110">
        <w:t>e,</w:t>
      </w:r>
      <w:r w:rsidR="0093498F">
        <w:t xml:space="preserve"> </w:t>
      </w:r>
      <w:r w:rsidR="00EF4F76" w:rsidRPr="00AA3110">
        <w:t>in particolare,</w:t>
      </w:r>
      <w:r w:rsidR="0093498F">
        <w:t xml:space="preserve"> </w:t>
      </w:r>
      <w:r w:rsidR="00EF4F76" w:rsidRPr="00AA3110">
        <w:t>del principio di non</w:t>
      </w:r>
      <w:r w:rsidR="0093498F">
        <w:t xml:space="preserve"> </w:t>
      </w:r>
      <w:r w:rsidR="00E54E0A" w:rsidRPr="00AA3110">
        <w:t>D</w:t>
      </w:r>
      <w:r w:rsidR="00EF4F76" w:rsidRPr="00AA3110">
        <w:t>iscriminazione</w:t>
      </w:r>
      <w:r w:rsidR="00E54E0A">
        <w:t>;</w:t>
      </w:r>
    </w:p>
    <w:p w14:paraId="6F069EFF" w14:textId="62E1258D" w:rsidR="00863B08" w:rsidRDefault="00E54E0A" w:rsidP="00863B08">
      <w:pPr>
        <w:jc w:val="both"/>
      </w:pPr>
      <w:r>
        <w:t xml:space="preserve"> Considerato che, a</w:t>
      </w:r>
      <w:r w:rsidR="00EF4F76" w:rsidRPr="00AA3110">
        <w:t xml:space="preserve">ll'indomani del deposito della sentenza </w:t>
      </w:r>
      <w:r>
        <w:t xml:space="preserve">Promoimpresa </w:t>
      </w:r>
      <w:r w:rsidR="00EF4F76" w:rsidRPr="00AA3110">
        <w:t>della Corte di giustizia</w:t>
      </w:r>
      <w:r>
        <w:t xml:space="preserve"> </w:t>
      </w:r>
      <w:r w:rsidR="00EF4F76" w:rsidRPr="00AA3110">
        <w:t>- la quale,  nella  sostanza,  chiariva che era passibile</w:t>
      </w:r>
      <w:r>
        <w:t xml:space="preserve"> </w:t>
      </w:r>
      <w:r w:rsidR="00EF4F76" w:rsidRPr="00AA3110">
        <w:t>di</w:t>
      </w:r>
      <w:r>
        <w:t xml:space="preserve"> </w:t>
      </w:r>
      <w:r w:rsidR="00EF4F76" w:rsidRPr="00AA3110">
        <w:t xml:space="preserve">disapplicazione la  proroga al </w:t>
      </w:r>
      <w:r w:rsidR="0093498F">
        <w:t xml:space="preserve">31 dicembre </w:t>
      </w:r>
      <w:r w:rsidR="00EF4F76" w:rsidRPr="00AA3110">
        <w:t>2020  delle  concessioni esistenti,</w:t>
      </w:r>
      <w:r>
        <w:t xml:space="preserve"> </w:t>
      </w:r>
      <w:r w:rsidR="00EF4F76" w:rsidRPr="00AA3110">
        <w:t>disposta dall'art. 34-duodecies del decreto-legge n. 179 del 2012</w:t>
      </w:r>
      <w:r w:rsidR="00111D4A">
        <w:t xml:space="preserve">, nonostante i punti 44-48 della decisione portassero ad escludere l’applicabilità della direttiva Bolkestein a concessioni di beni </w:t>
      </w:r>
      <w:r w:rsidR="00EF4F76" w:rsidRPr="00AA3110">
        <w:t>-</w:t>
      </w:r>
      <w:r w:rsidR="00111D4A">
        <w:t xml:space="preserve"> </w:t>
      </w:r>
      <w:r w:rsidR="00EF4F76" w:rsidRPr="00AA3110">
        <w:t xml:space="preserve">il Parlamento, senza  abrogare  tale  disposizione, </w:t>
      </w:r>
      <w:r w:rsidR="00111D4A">
        <w:t>è</w:t>
      </w:r>
      <w:r w:rsidR="00EF4F76" w:rsidRPr="00AA3110">
        <w:t xml:space="preserve"> intervenuto</w:t>
      </w:r>
      <w:r w:rsidR="00111D4A">
        <w:t xml:space="preserve"> </w:t>
      </w:r>
      <w:r w:rsidR="00EF4F76" w:rsidRPr="00AA3110">
        <w:t>inserendo, in sede di conversione del decreto-legge 24  giugno  2016,</w:t>
      </w:r>
      <w:r w:rsidR="00111D4A">
        <w:t xml:space="preserve"> </w:t>
      </w:r>
      <w:r w:rsidR="00EF4F76" w:rsidRPr="00AA3110">
        <w:t>n. 113, un comma 3-septies all'art. 2</w:t>
      </w:r>
      <w:r w:rsidR="0093498F">
        <w:t>4</w:t>
      </w:r>
      <w:r w:rsidR="00EF4F76" w:rsidRPr="00AA3110">
        <w:t>, del seguente  tenore: «Nelle</w:t>
      </w:r>
      <w:r w:rsidR="00863B08">
        <w:t xml:space="preserve"> </w:t>
      </w:r>
      <w:r w:rsidR="00EF4F76" w:rsidRPr="00AA3110">
        <w:t>more della revisione e del riordino della materia in conformit</w:t>
      </w:r>
      <w:r w:rsidR="00863B08">
        <w:t xml:space="preserve">à </w:t>
      </w:r>
      <w:r w:rsidR="00EF4F76" w:rsidRPr="00AA3110">
        <w:t>ai</w:t>
      </w:r>
      <w:r w:rsidR="00863B08">
        <w:t xml:space="preserve"> </w:t>
      </w:r>
      <w:r w:rsidR="00EF4F76" w:rsidRPr="00AA3110">
        <w:t>principi  di  derivazione  europea,  per  garantire certezza alle</w:t>
      </w:r>
      <w:r w:rsidR="00863B08">
        <w:t xml:space="preserve"> </w:t>
      </w:r>
      <w:r w:rsidR="00EF4F76" w:rsidRPr="00AA3110">
        <w:t>situazioni giuridiche in atto e assicurare l'interesse pubblico</w:t>
      </w:r>
      <w:r w:rsidR="00863B08">
        <w:t xml:space="preserve"> </w:t>
      </w:r>
      <w:r w:rsidR="00EF4F76" w:rsidRPr="00AA3110">
        <w:t>all'ordinata gestione del demanio  senza  soluzione  di  continuit</w:t>
      </w:r>
      <w:r w:rsidR="00863B08">
        <w:t>à</w:t>
      </w:r>
      <w:r w:rsidR="00EF4F76" w:rsidRPr="00AA3110">
        <w:t>,</w:t>
      </w:r>
      <w:r w:rsidR="00863B08">
        <w:t xml:space="preserve"> </w:t>
      </w:r>
      <w:r w:rsidR="00EF4F76" w:rsidRPr="00AA3110">
        <w:t>conservano validit</w:t>
      </w:r>
      <w:r w:rsidR="00863B08">
        <w:t>à</w:t>
      </w:r>
      <w:r w:rsidR="00EF4F76" w:rsidRPr="00AA3110">
        <w:t xml:space="preserve"> i rapporti gi</w:t>
      </w:r>
      <w:r w:rsidR="00863B08">
        <w:t>à</w:t>
      </w:r>
      <w:r w:rsidR="00EF4F76" w:rsidRPr="00AA3110">
        <w:t xml:space="preserve"> instaurati e pendenti in base</w:t>
      </w:r>
      <w:r w:rsidR="00863B08">
        <w:t xml:space="preserve"> </w:t>
      </w:r>
      <w:r w:rsidR="00EF4F76" w:rsidRPr="00AA3110">
        <w:t>all'art. 1, comma 18, del decreto-legge 30 dicembre  2009, n. 194,</w:t>
      </w:r>
      <w:r w:rsidR="00863B08">
        <w:t xml:space="preserve"> </w:t>
      </w:r>
      <w:r w:rsidR="00EF4F76" w:rsidRPr="00AA3110">
        <w:t>convertito, con modificazioni, dalla legge 26 febbraio 2010, n. 25»</w:t>
      </w:r>
      <w:r w:rsidR="00863B08">
        <w:t>;</w:t>
      </w:r>
    </w:p>
    <w:p w14:paraId="79EE1A64" w14:textId="2933ADBD" w:rsidR="00863B08" w:rsidRDefault="00863B08" w:rsidP="00863B08">
      <w:pPr>
        <w:jc w:val="both"/>
      </w:pPr>
      <w:r>
        <w:t xml:space="preserve"> Rilevato che, i</w:t>
      </w:r>
      <w:r w:rsidRPr="00863B08">
        <w:t xml:space="preserve">nizialmente, dopo la sentenza Promoimpresa della Corte Ue, anche la Commissione europea </w:t>
      </w:r>
      <w:r>
        <w:t xml:space="preserve">è apparsa orientarsi nel senso che </w:t>
      </w:r>
      <w:r w:rsidRPr="00863B08">
        <w:t>direttiva servizi non si applicasse alle concessioni demaniali marittime, come si evince dal punto 39 della sentenza del 18 settembre 2019 della Corte di giustizia nella causa C-526/17 Commissione contro Repubblica italiana (</w:t>
      </w:r>
      <w:r>
        <w:t>ECLI:</w:t>
      </w:r>
      <w:r w:rsidRPr="00863B08">
        <w:t>EU:C:2019:756), e come si ricava dal fatto che non ha attivato nessuna procedura di infrazione nei confronti dell’Italia a seguito dell’entrata in vigore dell’art.24 comma 3-septies del d.l. n.113/2016</w:t>
      </w:r>
      <w:r w:rsidR="00281266">
        <w:t xml:space="preserve"> fino alla lettera di messa in mora del 3 dicembre 2020 di apertura del</w:t>
      </w:r>
      <w:r w:rsidR="00281266" w:rsidRPr="005B3146">
        <w:rPr>
          <w:rFonts w:cstheme="minorHAnsi"/>
        </w:rPr>
        <w:t>la nuova procedura di infrazione 2020/4118 C (2020) 7826 final</w:t>
      </w:r>
      <w:r>
        <w:t>;</w:t>
      </w:r>
    </w:p>
    <w:p w14:paraId="46B8C6C9" w14:textId="77777777" w:rsidR="00ED6F0F" w:rsidRDefault="00281266" w:rsidP="00863B08">
      <w:pPr>
        <w:jc w:val="both"/>
      </w:pPr>
      <w:r>
        <w:t xml:space="preserve"> Considerato, infatti, che la Commissione europea </w:t>
      </w:r>
      <w:r w:rsidR="00ED6F0F">
        <w:t xml:space="preserve">con comunicazione del 28.8.2017 a firma del Capo unità Robert Strauss della Direzione generale del Mercato interno, dell’industria, dell’imprenditoria e delle PMI, in risposta </w:t>
      </w:r>
      <w:r w:rsidR="00ED6F0F" w:rsidRPr="00281266">
        <w:t>a una lettera d</w:t>
      </w:r>
      <w:r w:rsidR="00ED6F0F">
        <w:t xml:space="preserve">el </w:t>
      </w:r>
      <w:r w:rsidR="00ED6F0F" w:rsidRPr="00281266">
        <w:t xml:space="preserve">presidente di Fivag-Cisl </w:t>
      </w:r>
      <w:r w:rsidR="00ED6F0F">
        <w:t xml:space="preserve">in rappresentanza del commercio ambulante, ha precisato che </w:t>
      </w:r>
      <w:r w:rsidRPr="00281266">
        <w:t>l’articolo 12</w:t>
      </w:r>
      <w:r w:rsidR="00ED6F0F">
        <w:t xml:space="preserve"> del</w:t>
      </w:r>
      <w:r w:rsidRPr="00281266">
        <w:t xml:space="preserve">la </w:t>
      </w:r>
      <w:r w:rsidR="00ED6F0F">
        <w:t xml:space="preserve">direttiva </w:t>
      </w:r>
      <w:r w:rsidRPr="00281266">
        <w:t xml:space="preserve">Bolkestein stabilisce che le procedure di selezione vanno fatte solo «qualora il numero di autorizzazioni disponibili per una determinata attività sia limitato per via della scarsità delle risorse naturali», </w:t>
      </w:r>
      <w:r w:rsidR="00ED6F0F">
        <w:t xml:space="preserve">e </w:t>
      </w:r>
      <w:r w:rsidRPr="00281266">
        <w:t>che «riguardo all’applicazione dell’articolo 12, occorre rilevare la scarsità delle risorse: spetta alle autorità nazionali verificare questo requisito»</w:t>
      </w:r>
      <w:r w:rsidR="00ED6F0F">
        <w:t>;</w:t>
      </w:r>
    </w:p>
    <w:p w14:paraId="7D8BB296" w14:textId="39AEDE51" w:rsidR="00863B08" w:rsidRDefault="00863B08" w:rsidP="00863B08">
      <w:pPr>
        <w:jc w:val="both"/>
      </w:pPr>
      <w:r>
        <w:t xml:space="preserve"> Visto l</w:t>
      </w:r>
      <w:r w:rsidR="00EF4F76" w:rsidRPr="00AA3110">
        <w:t>'art. 1, commi 682 e 683 della legge 30 dicembre 2018, n.</w:t>
      </w:r>
      <w:r>
        <w:t xml:space="preserve"> </w:t>
      </w:r>
      <w:r w:rsidR="00EF4F76" w:rsidRPr="00AA3110">
        <w:t>145</w:t>
      </w:r>
      <w:r>
        <w:t xml:space="preserve">, con cui </w:t>
      </w:r>
      <w:r w:rsidR="00EF4F76" w:rsidRPr="00AA3110">
        <w:t>il legislatore  ha  prorogato  ulteriormente  l'efficacia delle</w:t>
      </w:r>
      <w:r>
        <w:t xml:space="preserve"> </w:t>
      </w:r>
      <w:r w:rsidR="00EF4F76" w:rsidRPr="00AA3110">
        <w:t>concessioni dei beni del demanio marittimo per quindici  anni,  cos</w:t>
      </w:r>
      <w:r>
        <w:t xml:space="preserve">ì </w:t>
      </w:r>
      <w:r w:rsidR="00EF4F76" w:rsidRPr="00AA3110">
        <w:t xml:space="preserve">differendone la scadenza al </w:t>
      </w:r>
      <w:r>
        <w:t xml:space="preserve">31 dicembre </w:t>
      </w:r>
      <w:r w:rsidR="00EF4F76" w:rsidRPr="00AA3110">
        <w:t>2033</w:t>
      </w:r>
      <w:r>
        <w:t>, prevedendo altresì c</w:t>
      </w:r>
      <w:r w:rsidRPr="00863B08">
        <w:t xml:space="preserve">on l’art.1 comma 675 della </w:t>
      </w:r>
      <w:r>
        <w:t xml:space="preserve">stessa </w:t>
      </w:r>
      <w:r w:rsidRPr="00863B08">
        <w:t xml:space="preserve">legge </w:t>
      </w:r>
      <w:r>
        <w:t>che,</w:t>
      </w:r>
      <w:r w:rsidRPr="00863B08">
        <w:t xml:space="preserve"> «</w:t>
      </w:r>
      <w:r>
        <w:rPr>
          <w:i/>
          <w:iCs/>
        </w:rPr>
        <w:t>a</w:t>
      </w:r>
      <w:r w:rsidRPr="00863B08">
        <w:rPr>
          <w:i/>
          <w:iCs/>
        </w:rPr>
        <w:t>l fine di tutelare, valorizzare e promuovere il bene demaniale delle coste italiane, che rappresenta un elemento strategico per il sistema economico, di attrazione turistica e di immagine del Paese, in un'ottica di armonizzazione delle normative europee, con decreto del Presidente del Consiglio dei ministri, da adottare entro centoventi giorni dalla data di entrata in vigore della presente legge, ….. sono fissati i termini e le modalità per la generale revisione del sistema delle concessioni demaniali marittime</w:t>
      </w:r>
      <w:r>
        <w:rPr>
          <w:rFonts w:cstheme="minorHAnsi"/>
        </w:rPr>
        <w:t>»</w:t>
      </w:r>
      <w:r>
        <w:t xml:space="preserve"> e, n</w:t>
      </w:r>
      <w:r w:rsidRPr="00863B08">
        <w:t xml:space="preserve">ei successivi commi </w:t>
      </w:r>
      <w:r w:rsidRPr="00863B08">
        <w:lastRenderedPageBreak/>
        <w:t xml:space="preserve">da 676 a 681 dell’art.1 della </w:t>
      </w:r>
      <w:r>
        <w:t xml:space="preserve">medesima </w:t>
      </w:r>
      <w:r w:rsidRPr="00863B08">
        <w:t>legge</w:t>
      </w:r>
      <w:r>
        <w:t xml:space="preserve"> f</w:t>
      </w:r>
      <w:r w:rsidRPr="00863B08">
        <w:t>inanziaria per il 2019</w:t>
      </w:r>
      <w:r w:rsidR="00651847">
        <w:t>, introducendo</w:t>
      </w:r>
      <w:r w:rsidRPr="00863B08">
        <w:t xml:space="preserve"> un complesso procedimento partecipato dalle Regioni e dai Comuni che avrebbe dovuto portare alla «</w:t>
      </w:r>
      <w:r w:rsidRPr="00863B08">
        <w:rPr>
          <w:i/>
          <w:iCs/>
        </w:rPr>
        <w:t>revisione organica delle norme connesse alle concessioni demaniali marittime, con particolare riferimento alle disposizioni in materia di demanio marittimo di cui al codice della navigazione o a leggi speciali in materia</w:t>
      </w:r>
      <w:r w:rsidRPr="00863B08">
        <w:t>» (art.1 comma 677 lettera c)</w:t>
      </w:r>
      <w:r w:rsidR="00651847">
        <w:t>, che non è stato mai attuato così come non è stato adottato il dPCM previsto dall’art.1 comma 675 della citata legge n.145/2018;</w:t>
      </w:r>
    </w:p>
    <w:p w14:paraId="4F62515D" w14:textId="3DB0EB96" w:rsidR="00EF4F76" w:rsidRDefault="00651847" w:rsidP="00863B08">
      <w:pPr>
        <w:jc w:val="both"/>
      </w:pPr>
      <w:r>
        <w:t xml:space="preserve"> Evidenziato c</w:t>
      </w:r>
      <w:r w:rsidR="00863B08">
        <w:t xml:space="preserve">he </w:t>
      </w:r>
      <w:r>
        <w:t xml:space="preserve">moltissimi </w:t>
      </w:r>
      <w:r w:rsidR="00863B08" w:rsidRPr="00863B08">
        <w:t xml:space="preserve">Comuni </w:t>
      </w:r>
      <w:r>
        <w:t xml:space="preserve">costieri </w:t>
      </w:r>
      <w:r w:rsidR="00863B08" w:rsidRPr="00863B08">
        <w:t xml:space="preserve">hanno </w:t>
      </w:r>
      <w:r>
        <w:t>comunicato a</w:t>
      </w:r>
      <w:r w:rsidR="00863B08" w:rsidRPr="00863B08">
        <w:t>i concessionari la nuova scadenza delle concessioni con atti di ricognizione della nuova durata de</w:t>
      </w:r>
      <w:r>
        <w:t>i titoli al 31 dicembre 2033</w:t>
      </w:r>
      <w:r w:rsidR="00863B08" w:rsidRPr="00863B08">
        <w:t>, pretendendo il pagamento in un’unica soluzione dell’imposta di registro</w:t>
      </w:r>
      <w:r>
        <w:t xml:space="preserve"> per tutta la durata prorogata</w:t>
      </w:r>
      <w:r w:rsidR="00863B08" w:rsidRPr="00863B08">
        <w:t xml:space="preserve">, e in molti casi facendo anche ricorso alla procedura di evidenza pubblica </w:t>
      </w:r>
      <w:r>
        <w:t xml:space="preserve">ai sensi dell’art. 37 del codice della navigazione </w:t>
      </w:r>
      <w:r w:rsidR="00863B08" w:rsidRPr="00863B08">
        <w:t>con la pubblicazione dell’atto di ricognizione all’albo pretorio, ai sensi dell’art.18 del Regolamento di esecuzione del codice della navigazione, al fine di eventuali osservazioni di altri richiedenti</w:t>
      </w:r>
      <w:r>
        <w:t>;</w:t>
      </w:r>
    </w:p>
    <w:p w14:paraId="2D488744" w14:textId="77777777" w:rsidR="00651847" w:rsidRDefault="00651847" w:rsidP="00651847">
      <w:pPr>
        <w:jc w:val="both"/>
      </w:pPr>
      <w:r>
        <w:t xml:space="preserve"> Considerato che </w:t>
      </w:r>
      <w:r w:rsidRPr="00651847">
        <w:t>il Consiglio di Stato – V Sezione con le sentenze "gemelle" del 24 ottobre 2019 nn. 7251, 7252, 7253, 7254, 7255 e 7256 si è espresso per la legittima applicazione alla materia in esame della proroga dei titoli concessori al 31.12.2033 di cui all’art.1 comma 682 n. 145/2018</w:t>
      </w:r>
      <w:r>
        <w:t xml:space="preserve">, confermando tale orientamento </w:t>
      </w:r>
      <w:r w:rsidRPr="00651847">
        <w:t xml:space="preserve">con la sentenza 26 ottobre 2020 n. 6472 </w:t>
      </w:r>
      <w:r>
        <w:t xml:space="preserve">in una fattispecie di </w:t>
      </w:r>
      <w:r w:rsidRPr="00651847">
        <w:t>concessione demaniale portuale che aveva chiesto e ottenuto la rideterminazione della durata da 50 anni a 70 anni</w:t>
      </w:r>
      <w:r>
        <w:t>;</w:t>
      </w:r>
    </w:p>
    <w:p w14:paraId="699F5F86" w14:textId="34C40EFB" w:rsidR="007E7741" w:rsidRDefault="00651847" w:rsidP="00651847">
      <w:pPr>
        <w:jc w:val="both"/>
      </w:pPr>
      <w:r>
        <w:t xml:space="preserve"> Rilevato che, viceversa, </w:t>
      </w:r>
      <w:r w:rsidRPr="00651847">
        <w:t>con la sentenza del 18 novembre 2019 n.7874 il Consiglio di Stato – VI Sezione ha per la prima volta argomentato, peraltro incidentalmente, sulla disapplicazione da parte dei funzionari comunali della proroga al 31.12.2033 della durata delle concessioni balneari di cui all’art.1 comma 682 n. 145/2018, ma con alcune precisazioni importanti</w:t>
      </w:r>
      <w:r>
        <w:t>: i</w:t>
      </w:r>
      <w:r w:rsidRPr="00651847">
        <w:t xml:space="preserve">n primo luogo, il Consiglio di Stato nella </w:t>
      </w:r>
      <w:r>
        <w:t xml:space="preserve">citata </w:t>
      </w:r>
      <w:r w:rsidRPr="00651847">
        <w:t xml:space="preserve">sentenza </w:t>
      </w:r>
      <w:r>
        <w:t>h</w:t>
      </w:r>
      <w:r w:rsidRPr="00651847">
        <w:t>a aderito alla tesi prevalente in giurisprudenza, che afferma che il provvedimento amministrativo adottato dall’amministrazione in applicazione di una norma nazionale contrastante con il diritto eurounitario non va considerato nullo, sebbene alla medesima amministrazione è fatto carico dell’obbligo di non applicare la norma nazionale contrastante con il diritto eurounitario, in particolar modo quando tale contrasto sia stato sancito in una sentenza della Corte di giustizia UE come Promoimpresa</w:t>
      </w:r>
      <w:r w:rsidR="007E7741">
        <w:t xml:space="preserve"> e, in conseguenza, </w:t>
      </w:r>
      <w:r w:rsidRPr="00651847">
        <w:t>tutti gli atti di ricognizione dei Comuni costieri italiani della proroga al 31.12.2033 delle concessioni balneari in applicazione dell’art.1 comma 682 della legge n.145/2018 sono inoppugnabili, quando non siano stati gravati con l’ordinaria azione di annullamento davanti al Tar competente</w:t>
      </w:r>
      <w:r w:rsidR="007E7741">
        <w:t>; s</w:t>
      </w:r>
      <w:r w:rsidRPr="00651847">
        <w:t xml:space="preserve">otto un secondo profilo, la sentenza </w:t>
      </w:r>
      <w:r w:rsidR="007E7741">
        <w:t>della V</w:t>
      </w:r>
      <w:r w:rsidR="00884B8B">
        <w:t xml:space="preserve">I </w:t>
      </w:r>
      <w:r w:rsidR="007E7741">
        <w:t xml:space="preserve">Sezione del </w:t>
      </w:r>
      <w:r w:rsidRPr="00651847">
        <w:t>Consiglio di Stato è intervenut</w:t>
      </w:r>
      <w:r w:rsidR="007E7741">
        <w:t>a</w:t>
      </w:r>
      <w:r w:rsidRPr="00651847">
        <w:t xml:space="preserve"> sulle concessioni iniziate prima del 28.12.2009, </w:t>
      </w:r>
      <w:r w:rsidR="007E7741">
        <w:t>valorizzando la tutela della b</w:t>
      </w:r>
      <w:r w:rsidRPr="007E7741">
        <w:t>uona fede del concessionario</w:t>
      </w:r>
      <w:r w:rsidR="007E7741">
        <w:t xml:space="preserve"> che ha iniziato prima della scadenza de</w:t>
      </w:r>
      <w:r w:rsidRPr="007E7741">
        <w:t xml:space="preserve">l termine di recepimento della direttiva Bolkestein (28 dicembre 2009) e prima che lo Stato italiano la attuasse tramite il d.lgs. n. 59 del 26 marzo 2010, con conseguente conformità al diritto dell'Unione europea dell'applicazione alla concessione oggetto di causa della (sola) proroga </w:t>
      </w:r>
      <w:r w:rsidR="007E7741">
        <w:t xml:space="preserve">al 31.12.2020 </w:t>
      </w:r>
      <w:r w:rsidRPr="007E7741">
        <w:t>prevista dall'art. 1, comma 18, d.l. 194 del 2009</w:t>
      </w:r>
      <w:r w:rsidR="007E7741">
        <w:t>;</w:t>
      </w:r>
    </w:p>
    <w:p w14:paraId="31154F4E" w14:textId="71C8E2C7" w:rsidR="00EF4F76" w:rsidRDefault="007E7741" w:rsidP="006D0600">
      <w:pPr>
        <w:jc w:val="both"/>
      </w:pPr>
      <w:r>
        <w:t xml:space="preserve"> Visto l</w:t>
      </w:r>
      <w:r w:rsidR="00EF4F76" w:rsidRPr="00AA3110">
        <w:t>'art.  182, comma 2, del</w:t>
      </w:r>
      <w:r>
        <w:t xml:space="preserve"> </w:t>
      </w:r>
      <w:r w:rsidR="00EF4F76" w:rsidRPr="00AA3110">
        <w:t>decreto-legge 19 maggio 2020, n. 34, recante «Misure urgenti in</w:t>
      </w:r>
      <w:r>
        <w:t xml:space="preserve"> </w:t>
      </w:r>
      <w:r w:rsidR="00EF4F76" w:rsidRPr="00AA3110">
        <w:t>materia di salute, sostegno al</w:t>
      </w:r>
      <w:r>
        <w:t xml:space="preserve"> </w:t>
      </w:r>
      <w:r w:rsidR="00EF4F76" w:rsidRPr="00AA3110">
        <w:t>lavoro</w:t>
      </w:r>
      <w:r>
        <w:t xml:space="preserve"> </w:t>
      </w:r>
      <w:r w:rsidR="00EF4F76" w:rsidRPr="00AA3110">
        <w:t>e</w:t>
      </w:r>
      <w:r>
        <w:t xml:space="preserve"> </w:t>
      </w:r>
      <w:r w:rsidR="00EF4F76" w:rsidRPr="00AA3110">
        <w:t>all'economia,</w:t>
      </w:r>
      <w:r>
        <w:t xml:space="preserve"> nonché </w:t>
      </w:r>
      <w:r w:rsidR="00EF4F76" w:rsidRPr="00AA3110">
        <w:t>di</w:t>
      </w:r>
      <w:r>
        <w:t xml:space="preserve"> </w:t>
      </w:r>
      <w:r w:rsidR="00EF4F76" w:rsidRPr="00AA3110">
        <w:t>politiche sociali connesse all'emergenza epidemiologica da COVID-19»,</w:t>
      </w:r>
      <w:r w:rsidR="006D0600">
        <w:t xml:space="preserve"> </w:t>
      </w:r>
      <w:r w:rsidR="00EF4F76" w:rsidRPr="00AA3110">
        <w:t xml:space="preserve">come convertito dalla legge 17 luglio 2020, n. 77, </w:t>
      </w:r>
      <w:r w:rsidR="006D0600">
        <w:t>con cui è</w:t>
      </w:r>
      <w:r w:rsidR="00EF4F76" w:rsidRPr="00AA3110">
        <w:t xml:space="preserve"> stata ribadita</w:t>
      </w:r>
      <w:r w:rsidR="006D0600">
        <w:t xml:space="preserve"> </w:t>
      </w:r>
      <w:r w:rsidR="00EF4F76" w:rsidRPr="00AA3110">
        <w:t>l'efficacia della proroga disposta con la legge n. 145 del 2018</w:t>
      </w:r>
      <w:r w:rsidR="006D0600">
        <w:t>;</w:t>
      </w:r>
    </w:p>
    <w:p w14:paraId="2BFBFA27" w14:textId="085C001A" w:rsidR="006D0600" w:rsidRDefault="006D0600" w:rsidP="00B7648D">
      <w:pPr>
        <w:jc w:val="both"/>
        <w:rPr>
          <w:rFonts w:cstheme="minorHAnsi"/>
        </w:rPr>
      </w:pPr>
      <w:r>
        <w:t xml:space="preserve"> Visto l’art. 100</w:t>
      </w:r>
      <w:r w:rsidR="00B7648D">
        <w:t xml:space="preserve">, comma 1, del decreto-legge 14 agosto 2020, n. 104, recante </w:t>
      </w:r>
      <w:r w:rsidR="00B7648D">
        <w:rPr>
          <w:rFonts w:cstheme="minorHAnsi"/>
        </w:rPr>
        <w:t>«</w:t>
      </w:r>
      <w:r w:rsidR="00B7648D" w:rsidRPr="00B7648D">
        <w:rPr>
          <w:rFonts w:cstheme="minorHAnsi"/>
        </w:rPr>
        <w:t>Misure urgenti per il sostegno e il rilancio dell'economia</w:t>
      </w:r>
      <w:r w:rsidR="00B7648D">
        <w:rPr>
          <w:rFonts w:cstheme="minorHAnsi"/>
        </w:rPr>
        <w:t>», come convertito dalla legge 13 ottobre 2020, n. 126, con cui è stata estesa la</w:t>
      </w:r>
      <w:r w:rsidR="00B7648D" w:rsidRPr="00B7648D">
        <w:rPr>
          <w:rFonts w:cstheme="minorHAnsi"/>
        </w:rPr>
        <w:t xml:space="preserve"> disciplina stabilita dall’art. 1, commi 682 e 683, della legge </w:t>
      </w:r>
      <w:r w:rsidR="00B7648D">
        <w:rPr>
          <w:rFonts w:cstheme="minorHAnsi"/>
        </w:rPr>
        <w:t>n. 145/2018</w:t>
      </w:r>
      <w:r w:rsidR="00B7648D" w:rsidRPr="00B7648D">
        <w:rPr>
          <w:rFonts w:cstheme="minorHAnsi"/>
        </w:rPr>
        <w:t xml:space="preserve">, concernente la proroga delle concessioni demaniali marittime sino al </w:t>
      </w:r>
      <w:r w:rsidR="00B7648D">
        <w:rPr>
          <w:rFonts w:cstheme="minorHAnsi"/>
        </w:rPr>
        <w:t xml:space="preserve">31 dicembre </w:t>
      </w:r>
      <w:r w:rsidR="00B7648D" w:rsidRPr="00B7648D">
        <w:rPr>
          <w:rFonts w:cstheme="minorHAnsi"/>
        </w:rPr>
        <w:t>2033, alle</w:t>
      </w:r>
      <w:r w:rsidR="00B7648D">
        <w:rPr>
          <w:rFonts w:cstheme="minorHAnsi"/>
        </w:rPr>
        <w:t xml:space="preserve"> </w:t>
      </w:r>
      <w:r w:rsidR="00B7648D" w:rsidRPr="00B7648D">
        <w:rPr>
          <w:rFonts w:cstheme="minorHAnsi"/>
        </w:rPr>
        <w:t>concessioni lacuali e fluviali e a quelle relative alla realizzazione e alla gestione di strutture dedicate alla</w:t>
      </w:r>
      <w:r w:rsidR="00B7648D">
        <w:rPr>
          <w:rFonts w:cstheme="minorHAnsi"/>
        </w:rPr>
        <w:t xml:space="preserve"> </w:t>
      </w:r>
      <w:r w:rsidR="00B7648D" w:rsidRPr="00B7648D">
        <w:rPr>
          <w:rFonts w:cstheme="minorHAnsi"/>
        </w:rPr>
        <w:t>nautica da diporto, nonché ai rapporti aventi ad oggetto la gestione di strutture turistico-ricreative in aree</w:t>
      </w:r>
      <w:r w:rsidR="00B7648D">
        <w:rPr>
          <w:rFonts w:cstheme="minorHAnsi"/>
        </w:rPr>
        <w:t xml:space="preserve"> </w:t>
      </w:r>
      <w:r w:rsidR="00B7648D" w:rsidRPr="00B7648D">
        <w:rPr>
          <w:rFonts w:cstheme="minorHAnsi"/>
        </w:rPr>
        <w:t>ricadenti nel demanio marittimo per effetto di provvedimenti successivi all’inizio dell’utilizzazione</w:t>
      </w:r>
      <w:r w:rsidR="00B7648D">
        <w:rPr>
          <w:rFonts w:cstheme="minorHAnsi"/>
        </w:rPr>
        <w:t>;</w:t>
      </w:r>
    </w:p>
    <w:p w14:paraId="77397697" w14:textId="28B3B519" w:rsidR="00EA03C6" w:rsidRDefault="005B3146" w:rsidP="005B3146">
      <w:pPr>
        <w:jc w:val="both"/>
        <w:rPr>
          <w:rFonts w:cstheme="minorHAnsi"/>
        </w:rPr>
      </w:pPr>
      <w:r>
        <w:rPr>
          <w:rFonts w:cstheme="minorHAnsi"/>
        </w:rPr>
        <w:lastRenderedPageBreak/>
        <w:t xml:space="preserve"> Considerato che </w:t>
      </w:r>
      <w:r w:rsidR="00884B8B">
        <w:rPr>
          <w:rFonts w:cstheme="minorHAnsi"/>
        </w:rPr>
        <w:t xml:space="preserve">soltanto a distanza di quasi quattro anni e mezzo dalla sentenza Promoimpresa della Corte di giustizia, </w:t>
      </w:r>
      <w:r w:rsidRPr="005B3146">
        <w:rPr>
          <w:rFonts w:cstheme="minorHAnsi"/>
        </w:rPr>
        <w:t>la Commissione europea</w:t>
      </w:r>
      <w:r w:rsidR="00340CF0">
        <w:rPr>
          <w:rFonts w:cstheme="minorHAnsi"/>
        </w:rPr>
        <w:t xml:space="preserve"> </w:t>
      </w:r>
      <w:r w:rsidRPr="005B3146">
        <w:rPr>
          <w:rFonts w:cstheme="minorHAnsi"/>
        </w:rPr>
        <w:t>ha inviato allo Stato italiano il 3 dicembre 2020 una lettera di messa in mora che avviava la nuova procedura di infrazione 2020/4118 C (2020) 7826 final</w:t>
      </w:r>
      <w:r>
        <w:rPr>
          <w:rFonts w:cstheme="minorHAnsi"/>
        </w:rPr>
        <w:t xml:space="preserve"> che riguardava,</w:t>
      </w:r>
      <w:r w:rsidR="00340CF0">
        <w:rPr>
          <w:rFonts w:cstheme="minorHAnsi"/>
        </w:rPr>
        <w:t xml:space="preserve"> </w:t>
      </w:r>
      <w:r w:rsidR="00340CF0" w:rsidRPr="005B3146">
        <w:rPr>
          <w:rFonts w:cstheme="minorHAnsi"/>
        </w:rPr>
        <w:t>per quanto riguarda l'assegnazione e la durata delle concessioni di beni demaniali marittimi lacuali e fluviali per attività ricreative e turistiche (cosiddette "concessioni balneari")</w:t>
      </w:r>
      <w:r w:rsidR="00340CF0">
        <w:rPr>
          <w:rFonts w:cstheme="minorHAnsi"/>
        </w:rPr>
        <w:t xml:space="preserve">, </w:t>
      </w:r>
      <w:r>
        <w:rPr>
          <w:rFonts w:cstheme="minorHAnsi"/>
        </w:rPr>
        <w:t xml:space="preserve"> la compatibilità </w:t>
      </w:r>
      <w:r w:rsidR="00340CF0" w:rsidRPr="005B3146">
        <w:rPr>
          <w:rFonts w:cstheme="minorHAnsi"/>
        </w:rPr>
        <w:t>con l</w:t>
      </w:r>
      <w:r w:rsidR="00374077">
        <w:rPr>
          <w:rFonts w:cstheme="minorHAnsi"/>
        </w:rPr>
        <w:t>’art.12 della d</w:t>
      </w:r>
      <w:r w:rsidR="00340CF0" w:rsidRPr="005B3146">
        <w:rPr>
          <w:rFonts w:cstheme="minorHAnsi"/>
        </w:rPr>
        <w:t>irettiva 2006/123/CE nonché con</w:t>
      </w:r>
      <w:r w:rsidR="00340CF0">
        <w:rPr>
          <w:rFonts w:cstheme="minorHAnsi"/>
        </w:rPr>
        <w:t xml:space="preserve"> </w:t>
      </w:r>
      <w:r w:rsidR="00340CF0" w:rsidRPr="005B3146">
        <w:rPr>
          <w:rFonts w:cstheme="minorHAnsi"/>
        </w:rPr>
        <w:t>l'art</w:t>
      </w:r>
      <w:r w:rsidR="00374077">
        <w:rPr>
          <w:rFonts w:cstheme="minorHAnsi"/>
        </w:rPr>
        <w:t>.</w:t>
      </w:r>
      <w:r w:rsidR="00340CF0" w:rsidRPr="005B3146">
        <w:rPr>
          <w:rFonts w:cstheme="minorHAnsi"/>
        </w:rPr>
        <w:t xml:space="preserve"> 49 del TFUE, </w:t>
      </w:r>
      <w:r w:rsidR="00374077">
        <w:rPr>
          <w:rFonts w:cstheme="minorHAnsi"/>
        </w:rPr>
        <w:t>dell’art.1 comma 18 decreto-legge n. 194/2009, dell’art.</w:t>
      </w:r>
      <w:r w:rsidR="00EA03C6">
        <w:rPr>
          <w:rFonts w:cstheme="minorHAnsi"/>
        </w:rPr>
        <w:t xml:space="preserve"> 24 comma 3-</w:t>
      </w:r>
      <w:r w:rsidR="00EA03C6">
        <w:rPr>
          <w:rFonts w:cstheme="minorHAnsi"/>
          <w:i/>
          <w:iCs/>
        </w:rPr>
        <w:t xml:space="preserve">septies </w:t>
      </w:r>
      <w:r w:rsidR="00EA03C6">
        <w:rPr>
          <w:rFonts w:cstheme="minorHAnsi"/>
        </w:rPr>
        <w:t xml:space="preserve">del </w:t>
      </w:r>
      <w:r w:rsidRPr="005B3146">
        <w:rPr>
          <w:rFonts w:cstheme="minorHAnsi"/>
        </w:rPr>
        <w:t xml:space="preserve">decreto-legge </w:t>
      </w:r>
      <w:r w:rsidR="00EA03C6">
        <w:rPr>
          <w:rFonts w:cstheme="minorHAnsi"/>
        </w:rPr>
        <w:t>n. 113/</w:t>
      </w:r>
      <w:r w:rsidRPr="005B3146">
        <w:rPr>
          <w:rFonts w:cstheme="minorHAnsi"/>
        </w:rPr>
        <w:t xml:space="preserve">2016, </w:t>
      </w:r>
      <w:r w:rsidR="00EA03C6">
        <w:rPr>
          <w:rFonts w:cstheme="minorHAnsi"/>
        </w:rPr>
        <w:t xml:space="preserve">dell’art.1 commi da 675 a 685 della legge n. 145/2018, dell’art. 182 comma 2 del </w:t>
      </w:r>
      <w:r w:rsidRPr="005B3146">
        <w:rPr>
          <w:rFonts w:cstheme="minorHAnsi"/>
        </w:rPr>
        <w:t xml:space="preserve">decreto-legge </w:t>
      </w:r>
      <w:r w:rsidR="00EA03C6">
        <w:rPr>
          <w:rFonts w:cstheme="minorHAnsi"/>
        </w:rPr>
        <w:t xml:space="preserve">n. 34/2020 e dell’art. 100 del </w:t>
      </w:r>
      <w:r w:rsidRPr="005B3146">
        <w:rPr>
          <w:rFonts w:cstheme="minorHAnsi"/>
        </w:rPr>
        <w:t>decreto-legge n. 104</w:t>
      </w:r>
      <w:r w:rsidR="00EA03C6">
        <w:rPr>
          <w:rFonts w:cstheme="minorHAnsi"/>
        </w:rPr>
        <w:t>/2020;</w:t>
      </w:r>
    </w:p>
    <w:p w14:paraId="3A0634A4" w14:textId="481221DF" w:rsidR="004B6010" w:rsidRDefault="004B6010" w:rsidP="004B6010">
      <w:pPr>
        <w:jc w:val="both"/>
      </w:pPr>
      <w:r>
        <w:t xml:space="preserve"> Rilevato che il</w:t>
      </w:r>
      <w:r w:rsidRPr="004B6010">
        <w:t xml:space="preserve"> Governo italiano ha risposto alla lettera di messa in mora della Commissione Ue </w:t>
      </w:r>
      <w:r>
        <w:t xml:space="preserve">nella </w:t>
      </w:r>
      <w:r w:rsidRPr="005B3146">
        <w:rPr>
          <w:rFonts w:cstheme="minorHAnsi"/>
        </w:rPr>
        <w:t xml:space="preserve">procedura di infrazione 2020/4118 </w:t>
      </w:r>
      <w:r w:rsidRPr="004B6010">
        <w:t>con la comunicazione del 4 febbraio 2021 a firma del prof. Massimo Condinanzi, rigettandone tutte le argomentazioni</w:t>
      </w:r>
      <w:r>
        <w:t xml:space="preserve"> ed evidenziando che </w:t>
      </w:r>
      <w:r w:rsidRPr="004B6010">
        <w:t xml:space="preserve">il regime delle concessioni demaniali marittime non </w:t>
      </w:r>
      <w:r>
        <w:t>sarebbe</w:t>
      </w:r>
      <w:r w:rsidRPr="004B6010">
        <w:t xml:space="preserve"> soggetto alla disciplina eurounitaria, </w:t>
      </w:r>
      <w:r w:rsidRPr="004B6010">
        <w:rPr>
          <w:i/>
          <w:iCs/>
        </w:rPr>
        <w:t xml:space="preserve">rectius </w:t>
      </w:r>
      <w:r w:rsidRPr="004B6010">
        <w:t>alla competenza dell'Unione che, pertanto, non p</w:t>
      </w:r>
      <w:r>
        <w:t>otrebbe</w:t>
      </w:r>
      <w:r w:rsidRPr="004B6010">
        <w:t xml:space="preserve"> ingerirsi nei regimi di proprietà dei beni pubblici e privati degli Stati, ai sensi dell'art. 345 del TFUE (ex art. 295 del TCE)</w:t>
      </w:r>
      <w:r>
        <w:t xml:space="preserve">, precisando altresì </w:t>
      </w:r>
      <w:r w:rsidRPr="004B6010">
        <w:t>l’esatta portata e interpretazione della sentenza Promoimpresa della Corte di giustizia e la non applicabilità della decisione e della direttiva 2006/123/CE ai fini della regolamentazione comunitaria delle concessioni demaniali marittime</w:t>
      </w:r>
      <w:r>
        <w:t xml:space="preserve">, infine sottolineando il diverso trattamento </w:t>
      </w:r>
      <w:r w:rsidRPr="004B6010">
        <w:t xml:space="preserve">della Commissione </w:t>
      </w:r>
      <w:r>
        <w:t xml:space="preserve">europea </w:t>
      </w:r>
      <w:r w:rsidRPr="004B6010">
        <w:t xml:space="preserve">rispetto alle lunghissime proroghe </w:t>
      </w:r>
      <w:r w:rsidR="007E755D">
        <w:t xml:space="preserve">di 75 anni </w:t>
      </w:r>
      <w:r w:rsidRPr="004B6010">
        <w:t>assicurate ai concessionari demaniali marittimi in Spagna e in Portogallo</w:t>
      </w:r>
      <w:r>
        <w:t>;</w:t>
      </w:r>
    </w:p>
    <w:p w14:paraId="18C0E14D" w14:textId="2FFB7CF4" w:rsidR="007E755D" w:rsidRDefault="004B6010" w:rsidP="007E755D">
      <w:pPr>
        <w:jc w:val="both"/>
      </w:pPr>
      <w:r>
        <w:t xml:space="preserve"> Considerato che, i</w:t>
      </w:r>
      <w:r w:rsidR="00EF4F76" w:rsidRPr="00AA3110">
        <w:t>n questo contesto, sono intervenute le due note sentenze</w:t>
      </w:r>
      <w:r w:rsidR="007E755D">
        <w:t xml:space="preserve"> </w:t>
      </w:r>
      <w:r w:rsidR="00EF4F76" w:rsidRPr="00AA3110">
        <w:t>dell'adunanza plenaria del Consiglio di Stato, n</w:t>
      </w:r>
      <w:r w:rsidR="007E755D">
        <w:t>n.</w:t>
      </w:r>
      <w:r w:rsidR="00EF4F76" w:rsidRPr="00AA3110">
        <w:t xml:space="preserve"> 17 e 18 del 9</w:t>
      </w:r>
      <w:r w:rsidR="007E755D">
        <w:t xml:space="preserve"> </w:t>
      </w:r>
      <w:r w:rsidR="00EF4F76" w:rsidRPr="00AA3110">
        <w:t>novembre 2021, che</w:t>
      </w:r>
      <w:r w:rsidR="00865C0D">
        <w:t>, valorizzando la lettera di messa in mora della Commissione europea del 3 dicembre 2020 nella procedura di infrazione 2020/4118,</w:t>
      </w:r>
      <w:r w:rsidR="00EF4F76" w:rsidRPr="00AA3110">
        <w:t xml:space="preserve"> hanno</w:t>
      </w:r>
      <w:r w:rsidR="007E755D">
        <w:t xml:space="preserve"> affermato l’incompatibilità </w:t>
      </w:r>
      <w:r w:rsidR="00EF4F76" w:rsidRPr="00AA3110">
        <w:t>con il diritto dell'Unione europea</w:t>
      </w:r>
      <w:r w:rsidR="007E755D">
        <w:t xml:space="preserve"> e, in particolare, con l’art.12 della direttiva Bolkestein e con l’art. 49 TFUE</w:t>
      </w:r>
      <w:r w:rsidR="00EF4F76" w:rsidRPr="00AA3110">
        <w:t xml:space="preserve">, </w:t>
      </w:r>
      <w:r w:rsidR="007E755D">
        <w:t xml:space="preserve">della proroga al 31 dicembre 2033 prevista dall’art.1 commi 682-683 della legge n.145/2018, </w:t>
      </w:r>
      <w:r w:rsidR="00EF4F76" w:rsidRPr="00AA3110">
        <w:t>con conseguente obbligo della</w:t>
      </w:r>
      <w:r w:rsidR="007E755D">
        <w:t xml:space="preserve"> </w:t>
      </w:r>
      <w:r w:rsidR="00EF4F76" w:rsidRPr="00AA3110">
        <w:t xml:space="preserve">disapplicazione </w:t>
      </w:r>
      <w:r w:rsidR="00865C0D">
        <w:t xml:space="preserve">(soltanto) della predetta disposizione </w:t>
      </w:r>
      <w:r w:rsidR="007E755D">
        <w:t xml:space="preserve">e dell’art. 182 comma 2 del decreto-legge n.34/2020 </w:t>
      </w:r>
      <w:r w:rsidR="00EF4F76" w:rsidRPr="00AA3110">
        <w:t>anche  da  parte  delle  pubbliche  amministrazioni,</w:t>
      </w:r>
      <w:r w:rsidR="007E755D">
        <w:t xml:space="preserve"> </w:t>
      </w:r>
      <w:r w:rsidR="00EF4F76" w:rsidRPr="00AA3110">
        <w:t xml:space="preserve">stabilendo tuttavia che - nei due casi </w:t>
      </w:r>
      <w:r w:rsidR="00EF4F76" w:rsidRPr="007E755D">
        <w:rPr>
          <w:i/>
          <w:iCs/>
        </w:rPr>
        <w:t>sub iudice</w:t>
      </w:r>
      <w:r w:rsidR="00865C0D">
        <w:t xml:space="preserve"> di concessioni balneari iniziate prima del 28 dicembre 2009</w:t>
      </w:r>
      <w:r w:rsidR="00EF4F76" w:rsidRPr="00AA3110">
        <w:t>, ma con indicazione</w:t>
      </w:r>
      <w:r w:rsidR="007E755D">
        <w:t xml:space="preserve"> </w:t>
      </w:r>
      <w:r w:rsidR="00EF4F76" w:rsidRPr="00AA3110">
        <w:t>di un principio di diritto</w:t>
      </w:r>
      <w:r w:rsidR="007E755D">
        <w:t xml:space="preserve"> </w:t>
      </w:r>
      <w:r w:rsidR="00EF4F76" w:rsidRPr="00AA3110">
        <w:t>di  portata tendenzialmente generale -</w:t>
      </w:r>
      <w:r w:rsidR="007E755D">
        <w:t xml:space="preserve"> </w:t>
      </w:r>
      <w:r w:rsidR="00EF4F76" w:rsidRPr="00AA3110">
        <w:t>l'efficacia delle concessioni in essere</w:t>
      </w:r>
      <w:r w:rsidR="007E755D">
        <w:t xml:space="preserve"> </w:t>
      </w:r>
      <w:r w:rsidR="00EF4F76" w:rsidRPr="00AA3110">
        <w:t>poteva ritenersi  prorogata</w:t>
      </w:r>
      <w:r w:rsidR="007E755D">
        <w:t xml:space="preserve"> </w:t>
      </w:r>
      <w:r w:rsidR="00EF4F76" w:rsidRPr="00AA3110">
        <w:t>fino  alla  data  del  31  dicembre  2023, onde evitare</w:t>
      </w:r>
      <w:r w:rsidR="007E755D">
        <w:t xml:space="preserve"> </w:t>
      </w:r>
      <w:r w:rsidR="00EF4F76" w:rsidRPr="00AA3110">
        <w:t>l'impatto</w:t>
      </w:r>
      <w:r w:rsidR="007E755D">
        <w:t xml:space="preserve"> </w:t>
      </w:r>
      <w:r w:rsidR="00EF4F76" w:rsidRPr="00AA3110">
        <w:t>socio-economico che sarebbe derivato da una decadenza immediata e</w:t>
      </w:r>
      <w:r w:rsidR="007E755D">
        <w:t xml:space="preserve"> </w:t>
      </w:r>
      <w:r w:rsidR="00EF4F76" w:rsidRPr="00AA3110">
        <w:t>generalizzata di tutti i titoli in essere e, nel contempo, concedere</w:t>
      </w:r>
      <w:r w:rsidR="007E755D">
        <w:t xml:space="preserve"> a</w:t>
      </w:r>
      <w:r w:rsidR="00EF4F76" w:rsidRPr="00AA3110">
        <w:t>lle amministrazioni un lasso di tempo utile per predisporre le</w:t>
      </w:r>
      <w:r w:rsidR="007E755D">
        <w:t xml:space="preserve"> </w:t>
      </w:r>
      <w:r w:rsidR="00EF4F76" w:rsidRPr="00AA3110">
        <w:t>procedure</w:t>
      </w:r>
      <w:r w:rsidR="00865C0D">
        <w:t xml:space="preserve"> </w:t>
      </w:r>
      <w:r w:rsidR="00EF4F76" w:rsidRPr="00AA3110">
        <w:t>di gara (che, auspicabilmente,  avrebbero potuto, nel</w:t>
      </w:r>
      <w:r w:rsidR="007E755D">
        <w:t xml:space="preserve"> </w:t>
      </w:r>
      <w:r w:rsidR="00EF4F76" w:rsidRPr="00AA3110">
        <w:t>medesimo periodo di tempo, formare oggetto di un riordino legislativo</w:t>
      </w:r>
      <w:r w:rsidR="007E755D">
        <w:t xml:space="preserve"> </w:t>
      </w:r>
      <w:r w:rsidR="00EF4F76" w:rsidRPr="00AA3110">
        <w:t>della materia in conformit</w:t>
      </w:r>
      <w:r w:rsidR="007E755D">
        <w:t>à</w:t>
      </w:r>
      <w:r w:rsidR="00EF4F76" w:rsidRPr="00AA3110">
        <w:t xml:space="preserve"> ai principi e all</w:t>
      </w:r>
      <w:r w:rsidR="007E755D">
        <w:t>e</w:t>
      </w:r>
      <w:r w:rsidR="00EF4F76" w:rsidRPr="00AA3110">
        <w:t xml:space="preserve"> disposizioni del</w:t>
      </w:r>
      <w:r w:rsidR="007E755D">
        <w:t xml:space="preserve"> </w:t>
      </w:r>
      <w:r w:rsidR="00EF4F76" w:rsidRPr="00AA3110">
        <w:t>diritto dell'Unione europea)</w:t>
      </w:r>
      <w:r w:rsidR="00865C0D">
        <w:t xml:space="preserve">, pur precisando l’adunanza plenaria del Consiglio di Stato che </w:t>
      </w:r>
      <w:r w:rsidR="00865C0D" w:rsidRPr="00865C0D">
        <w:t>le concessioni balneari sono concessioni di beni demaniali e non di servizi e non rientrano nella normativa prevista per gli appalti pubblici</w:t>
      </w:r>
      <w:r w:rsidR="007E755D">
        <w:t>;</w:t>
      </w:r>
    </w:p>
    <w:p w14:paraId="4EAB6783" w14:textId="04B71352" w:rsidR="00865C0D" w:rsidRDefault="00865C0D" w:rsidP="007E755D">
      <w:pPr>
        <w:jc w:val="both"/>
      </w:pPr>
      <w:r>
        <w:t xml:space="preserve">  Rilevato che, invece, </w:t>
      </w:r>
      <w:r w:rsidRPr="00865C0D">
        <w:t>lo stesso Consiglio di Stato – VI Sezione</w:t>
      </w:r>
      <w:r>
        <w:t>,</w:t>
      </w:r>
      <w:r w:rsidRPr="00865C0D">
        <w:t xml:space="preserve"> con sentenza del 13 gennaio 2022 n.229 (in termini, Consiglio di Stato</w:t>
      </w:r>
      <w:r w:rsidR="00292273">
        <w:t xml:space="preserve"> – VII Sezione</w:t>
      </w:r>
      <w:r w:rsidRPr="00865C0D">
        <w:t xml:space="preserve">, sentenza 9.4.2024 n.3240) al punto 6.7 ha precisato, richiamando la sentenza Togel della Corte di giustizia del 24.9.1998 </w:t>
      </w:r>
      <w:r>
        <w:t xml:space="preserve">in causa C-76/97 </w:t>
      </w:r>
      <w:r w:rsidRPr="00865C0D">
        <w:t>(</w:t>
      </w:r>
      <w:r>
        <w:t>ECLI:</w:t>
      </w:r>
      <w:r w:rsidRPr="00865C0D">
        <w:t xml:space="preserve">EU:C:1998:161), che le concessioni balneari iniziate prima del 28.12.2009 non entrano nel campo di applicazione della Direttiva Bolkestein: «occorre pronunciare sul denunciato contrasto della decisione appellata con il diritto eurounitario sul rilievo che l’automatismo della proroga/rinnovo sarebbe contrario all’art. 12 Direttiva 2006/123/CE e alla sentenza Corte di Giustizia, Sez. V, 14 luglio 2016, Promoimpresa S.r.l. e Melis, C-458/14 e C-67/15. La censura è inammissibile per difetto d’interesse. Come sottolineato dal ricorrente appellato, i canoni per cui è causa sono stati liquidati anteriormente al 28 dicembre 2009 e nel vigore dell’ultimo rinnovo disposto anteriormente alla medesima data. Oltretutto il rapporto concessorio s’è costituito in data anteriore alla scadenza del termine di trasposizione (d.28 dicembre 2009) della Direttiva Servizi 2006/123/CE, ed anche il rinnovo di cui alla concessione n. 1/2007 è stato disposto anteriormente a detto termine. Da cui l’inapplicabilità della Direttiva Servizi ai rapporti concessori sorti anteriormente al termine di trasposizione della stessa. A riguardo va </w:t>
      </w:r>
      <w:r w:rsidRPr="00865C0D">
        <w:lastRenderedPageBreak/>
        <w:t>richiamato quanto affermato dalla Corte di Giustizia: “..il diritto comunitario non impone ad un'amministrazione aggiudicatrice di uno Stato membro di intervenire, su domanda di un singolo, in rapporti giuridici in essere, instaurati a tempo indeterminato o con durata pluriennale, qualora tali rapporti siano stati posti in essere prima della scadenza del termine di trasposizione della direttiva 92/50” (Corte di Giustizia, Sez. VI, 24.9.1998, Tögel, C-76/97; nello stesso senso v. Corte di Giustizia, 5.10.2000, Commissione / Francia, C-337/98)»</w:t>
      </w:r>
      <w:r w:rsidR="005344B9">
        <w:t>;</w:t>
      </w:r>
    </w:p>
    <w:p w14:paraId="160293C9" w14:textId="061C6701" w:rsidR="005344B9" w:rsidRPr="00292273" w:rsidRDefault="005344B9" w:rsidP="007E755D">
      <w:pPr>
        <w:jc w:val="both"/>
      </w:pPr>
      <w:r>
        <w:t xml:space="preserve"> Considerato</w:t>
      </w:r>
      <w:r w:rsidR="00292273">
        <w:t xml:space="preserve"> che la Corte costituzion</w:t>
      </w:r>
      <w:r w:rsidR="00A20462">
        <w:t>al</w:t>
      </w:r>
      <w:r w:rsidR="00292273">
        <w:t xml:space="preserve">e con la </w:t>
      </w:r>
      <w:r w:rsidR="00292273" w:rsidRPr="00292273">
        <w:t>sentenza n.46 del 1° marzo 2022 ha ritenuto legittima la proroga al 31 dicembre 2033 delle concessioni demaniali marittime per uso turistico-ricreativo di cui all’art.1 commi 682-683 della legge n.145/2018 e l’estensione della predetta proroga anche a quelle lacuali e fluviali</w:t>
      </w:r>
      <w:r w:rsidR="00292273">
        <w:t xml:space="preserve"> di cui all’art. 100 comma 1 del decreto-legge n. 104/2020 (disposizione non esaminata dall’Adunanza plenaria del Consiglio di Stato nelle due decisioni del 2021), </w:t>
      </w:r>
      <w:r w:rsidR="00A20462">
        <w:t>rigettando</w:t>
      </w:r>
      <w:r w:rsidR="00292273">
        <w:t xml:space="preserve"> del ricorso di legittimità costituzionale in via principale proposto dalla Regione autonoma Friuli-Venezia Giulia</w:t>
      </w:r>
      <w:r w:rsidR="00A20462">
        <w:t xml:space="preserve"> ed evidenziando</w:t>
      </w:r>
      <w:r w:rsidR="00292273">
        <w:t>:</w:t>
      </w:r>
      <w:r w:rsidR="00292273" w:rsidRPr="00292273">
        <w:t xml:space="preserve"> «Va premesso che non è qui in discussione la legittimità costituzionale della disposizione impugnata, né dei commi 682 e 683 dell’art. 1 della legge n. 145 del 2018 da essa richiamati, sotto il profilo del rispetto dei vincoli comunitari ai sensi dell’art. 117, primo comma, Cost. La Regione ricorrente non sostiene, infatti, la contrarietà di tali disposizioni al diritto dell’Unione europea – medio tempore affermata da due recenti pronunce dell’Adunanza plenaria del Consiglio di Stato (sentenze 9 novembre 2021, n. 17 e n. 18) –; bensì, esclusivamente, la violazione delle proprie competenze legislative, ai sensi dell’art. 4 dello statuto (anche alla luce delle pertinenti norme di attuazione) e degli artt. 117, terzo e quarto comma, Cost., oltre che del principio di leale collaborazione rispetto all’asserita chiamata in sussidiarietà in ambiti riservati alla competenza regionale».</w:t>
      </w:r>
    </w:p>
    <w:p w14:paraId="5926D083" w14:textId="77777777" w:rsidR="00742C04" w:rsidRDefault="007E755D" w:rsidP="007E755D">
      <w:pPr>
        <w:jc w:val="both"/>
      </w:pPr>
      <w:r w:rsidRPr="00865C0D">
        <w:t xml:space="preserve"> </w:t>
      </w:r>
      <w:r w:rsidR="002F0D76">
        <w:t xml:space="preserve">Rilevato che </w:t>
      </w:r>
      <w:r w:rsidR="002F0D76" w:rsidRPr="002F0D76">
        <w:t xml:space="preserve">con la sentenza n. 4072 del 23 maggio 2022 la VII Sezione del Consiglio di Stato ha accolto l’appello proposto dal Comune di Lecce e, in riforma della sentenza </w:t>
      </w:r>
      <w:r w:rsidR="002F0D76">
        <w:t>del Tar Lecce che aveva prorogato</w:t>
      </w:r>
      <w:r w:rsidR="00A20462">
        <w:t xml:space="preserve"> al 31 dicembre 2033, </w:t>
      </w:r>
      <w:r w:rsidR="00A20462" w:rsidRPr="002F0D76">
        <w:t>ai sensi dell’art. 1 comma 682 della l</w:t>
      </w:r>
      <w:r w:rsidR="00A20462">
        <w:t xml:space="preserve">egge </w:t>
      </w:r>
      <w:r w:rsidR="00A20462" w:rsidRPr="002F0D76">
        <w:t>n. 145</w:t>
      </w:r>
      <w:r w:rsidR="00A20462">
        <w:t>/</w:t>
      </w:r>
      <w:r w:rsidR="00A20462" w:rsidRPr="002F0D76">
        <w:t>2018,</w:t>
      </w:r>
      <w:r w:rsidR="002F0D76">
        <w:t xml:space="preserve"> la concessione demaniale marittima </w:t>
      </w:r>
      <w:r w:rsidR="00A20462">
        <w:t>iniziata prima del 28 dicembre 2009</w:t>
      </w:r>
      <w:r w:rsidR="002F0D76" w:rsidRPr="002F0D76">
        <w:t xml:space="preserve">, ha respinto il ricorso proposto in primo grado da </w:t>
      </w:r>
      <w:r w:rsidR="002F0D76">
        <w:t>un concessionario balneare</w:t>
      </w:r>
      <w:r w:rsidR="002F0D76" w:rsidRPr="002F0D76">
        <w:t>, facendo propri i vincolanti principi affermati dall</w:t>
      </w:r>
      <w:r w:rsidR="002F0D76">
        <w:t>a sentenza n.18 del 2021 dell</w:t>
      </w:r>
      <w:r w:rsidR="002F0D76" w:rsidRPr="002F0D76">
        <w:t xml:space="preserve">’Adunanza plenaria, </w:t>
      </w:r>
      <w:r w:rsidR="00742C04">
        <w:t xml:space="preserve">e ha affermato che </w:t>
      </w:r>
      <w:r w:rsidR="002F0D76" w:rsidRPr="002F0D76">
        <w:t>il ricorrente in prime cure non poteva beneficiare della proroga della propria concessione giudicata in sede nomofilattica contraria al diritto dell’Unione europea e dunque disapplicabile, anche dall’amministrazione concedente</w:t>
      </w:r>
      <w:r w:rsidR="00742C04">
        <w:t>;</w:t>
      </w:r>
    </w:p>
    <w:p w14:paraId="256CD020" w14:textId="19B001A5" w:rsidR="000E25C3" w:rsidRDefault="00742C04" w:rsidP="000E25C3">
      <w:pPr>
        <w:jc w:val="both"/>
      </w:pPr>
      <w:r>
        <w:t xml:space="preserve"> Visto </w:t>
      </w:r>
      <w:r w:rsidR="00EF4F76" w:rsidRPr="00AA3110">
        <w:t>l'art. 3 della</w:t>
      </w:r>
      <w:r>
        <w:t xml:space="preserve"> </w:t>
      </w:r>
      <w:r w:rsidR="00EF4F76" w:rsidRPr="00AA3110">
        <w:t>legge 5</w:t>
      </w:r>
      <w:r>
        <w:t xml:space="preserve"> </w:t>
      </w:r>
      <w:r w:rsidR="00EF4F76" w:rsidRPr="00AA3110">
        <w:t>agosto 2022, n. 118</w:t>
      </w:r>
      <w:r w:rsidR="000E25C3">
        <w:t xml:space="preserve"> (</w:t>
      </w:r>
      <w:r w:rsidR="000E25C3">
        <w:rPr>
          <w:rFonts w:cstheme="minorHAnsi"/>
        </w:rPr>
        <w:t>«</w:t>
      </w:r>
      <w:r w:rsidR="000E25C3" w:rsidRPr="000E25C3">
        <w:rPr>
          <w:rFonts w:cstheme="minorHAnsi"/>
        </w:rPr>
        <w:t>Legge annuale per il mercato e la concorrenza 2021</w:t>
      </w:r>
      <w:r w:rsidR="000E25C3">
        <w:rPr>
          <w:rFonts w:cstheme="minorHAnsi"/>
        </w:rPr>
        <w:t>»</w:t>
      </w:r>
      <w:r w:rsidR="000E25C3">
        <w:t>)</w:t>
      </w:r>
      <w:r w:rsidR="00EF4F76" w:rsidRPr="00AA3110">
        <w:t xml:space="preserve">, </w:t>
      </w:r>
      <w:r>
        <w:t xml:space="preserve">con cui </w:t>
      </w:r>
      <w:r w:rsidR="00EF4F76" w:rsidRPr="00AA3110">
        <w:t xml:space="preserve">sono stati abrogati </w:t>
      </w:r>
      <w:r w:rsidR="00A510EB">
        <w:t xml:space="preserve">(comma 5) </w:t>
      </w:r>
      <w:r w:rsidR="00EF4F76" w:rsidRPr="00AA3110">
        <w:t>i commi 682 e 683  dell'art.</w:t>
      </w:r>
      <w:r>
        <w:t xml:space="preserve"> </w:t>
      </w:r>
      <w:r w:rsidR="00EF4F76" w:rsidRPr="00AA3110">
        <w:t xml:space="preserve">1 della legge n. 145 del 2018 e </w:t>
      </w:r>
      <w:r>
        <w:t>il comma 2 dell’art. 182 del decreto-legge n. 34/2020</w:t>
      </w:r>
      <w:r w:rsidR="000E25C3">
        <w:t>, e</w:t>
      </w:r>
      <w:r>
        <w:t xml:space="preserve"> </w:t>
      </w:r>
      <w:r w:rsidR="00EF4F76" w:rsidRPr="00AA3110">
        <w:t xml:space="preserve">si </w:t>
      </w:r>
      <w:r>
        <w:t>è</w:t>
      </w:r>
      <w:r w:rsidR="00EF4F76" w:rsidRPr="00AA3110">
        <w:t xml:space="preserve"> stabilito che le concessioni</w:t>
      </w:r>
      <w:r>
        <w:t xml:space="preserve"> </w:t>
      </w:r>
      <w:r w:rsidR="00EF4F76" w:rsidRPr="00AA3110">
        <w:t>demaniali in esame avrebbero continuato ad avere efficacia fino al 31</w:t>
      </w:r>
      <w:r>
        <w:t xml:space="preserve"> </w:t>
      </w:r>
      <w:r w:rsidR="00EF4F76" w:rsidRPr="00AA3110">
        <w:t>dicembre 2023</w:t>
      </w:r>
      <w:r w:rsidR="000E25C3">
        <w:t xml:space="preserve"> (comma 1)</w:t>
      </w:r>
      <w:r w:rsidR="00EF4F76" w:rsidRPr="00AA3110">
        <w:t>, con eccezione dei casi in cui ragioni oggettive</w:t>
      </w:r>
      <w:r w:rsidR="000E25C3">
        <w:t xml:space="preserve"> </w:t>
      </w:r>
      <w:r w:rsidR="00EF4F76" w:rsidRPr="00AA3110">
        <w:t>impedissero la conclusione delle procedure di gara entro tale data</w:t>
      </w:r>
      <w:r w:rsidR="000E25C3">
        <w:t xml:space="preserve"> </w:t>
      </w:r>
      <w:r w:rsidR="00EF4F76" w:rsidRPr="00AA3110">
        <w:t>(casi  nei  quali  il  termine  di  scadenza  delle  concessioni  era</w:t>
      </w:r>
      <w:r w:rsidR="000E25C3">
        <w:t xml:space="preserve"> </w:t>
      </w:r>
      <w:r w:rsidR="00EF4F76" w:rsidRPr="00AA3110">
        <w:t>prorogato per il tempo strettamente necessario e, comunque, non oltre</w:t>
      </w:r>
      <w:r w:rsidR="000E25C3">
        <w:t xml:space="preserve"> </w:t>
      </w:r>
      <w:r w:rsidR="00EF4F76" w:rsidRPr="00AA3110">
        <w:t>il 31 dicembre 2024)</w:t>
      </w:r>
      <w:r w:rsidR="000E25C3">
        <w:t>;</w:t>
      </w:r>
    </w:p>
    <w:p w14:paraId="106DB0FA" w14:textId="00A0B144" w:rsidR="000E25C3" w:rsidRDefault="000E25C3" w:rsidP="000E25C3">
      <w:pPr>
        <w:jc w:val="both"/>
      </w:pPr>
      <w:r>
        <w:t xml:space="preserve"> Visto altresì l’</w:t>
      </w:r>
      <w:r w:rsidR="00EF4F76" w:rsidRPr="00AA3110">
        <w:t xml:space="preserve">art. 4 </w:t>
      </w:r>
      <w:r w:rsidR="00D85A76">
        <w:t xml:space="preserve">comma 1 </w:t>
      </w:r>
      <w:r w:rsidR="00EF4F76" w:rsidRPr="00AA3110">
        <w:t xml:space="preserve">della medesima legge </w:t>
      </w:r>
      <w:r>
        <w:t xml:space="preserve">n. 118/2021, che </w:t>
      </w:r>
      <w:r w:rsidR="00EF4F76" w:rsidRPr="00AA3110">
        <w:t>conferiva al Governo una delega per</w:t>
      </w:r>
      <w:r>
        <w:t xml:space="preserve"> </w:t>
      </w:r>
      <w:r w:rsidR="00EF4F76" w:rsidRPr="00AA3110">
        <w:t>l'adozione, entro sei mesi dalla sua entrata in vigore, di uno o pi</w:t>
      </w:r>
      <w:r>
        <w:t xml:space="preserve">ù </w:t>
      </w:r>
      <w:r w:rsidR="00EF4F76" w:rsidRPr="00AA3110">
        <w:t>decreti legislativi volti a riordinare e semplificare la  disciplina</w:t>
      </w:r>
      <w:r>
        <w:t xml:space="preserve"> </w:t>
      </w:r>
      <w:r w:rsidR="00EF4F76" w:rsidRPr="00AA3110">
        <w:t>in materia di concessioni demaniali marittime, lacuali e fluviali per</w:t>
      </w:r>
      <w:r>
        <w:t xml:space="preserve"> </w:t>
      </w:r>
      <w:r w:rsidR="00EF4F76" w:rsidRPr="00AA3110">
        <w:t>finalit</w:t>
      </w:r>
      <w:r>
        <w:t>à</w:t>
      </w:r>
      <w:r w:rsidR="00EF4F76" w:rsidRPr="00AA3110">
        <w:t xml:space="preserve"> turistico-ricreative  e  sportive</w:t>
      </w:r>
      <w:r w:rsidR="00D85A76">
        <w:t xml:space="preserve">, delineando al </w:t>
      </w:r>
      <w:r w:rsidR="00D85A76" w:rsidRPr="00D85A76">
        <w:t>comma 2 i principi e i criteri direttivi a cui avrebbe dovuto ispirarsi la delega legislativa prevista dal comma 1 dello stesso articolo, tra cui alla lettera i) la «definizione di criteri uniformi per la quantificazione dell'indennizzo da riconoscere al concessionario uscente, posto a carico del concessionario subentrante»</w:t>
      </w:r>
      <w:r w:rsidRPr="00D85A76">
        <w:t>;</w:t>
      </w:r>
    </w:p>
    <w:p w14:paraId="065B111D" w14:textId="3A05D900" w:rsidR="00D85A76" w:rsidRPr="002F1C69" w:rsidRDefault="00D85A76" w:rsidP="00D85A76">
      <w:pPr>
        <w:jc w:val="both"/>
      </w:pPr>
      <w:r>
        <w:t xml:space="preserve"> Considerato che</w:t>
      </w:r>
      <w:r w:rsidR="002F1C69">
        <w:t xml:space="preserve"> l</w:t>
      </w:r>
      <w:r w:rsidRPr="002F1C69">
        <w:t xml:space="preserve">a Commissione </w:t>
      </w:r>
      <w:r w:rsidR="002F1C69">
        <w:t xml:space="preserve">europea </w:t>
      </w:r>
      <w:r w:rsidRPr="002F1C69">
        <w:t xml:space="preserve">nelle osservazioni scritte depositate il 2 febbraio 2022 nella causa C-598/22 S.I.I.B., sul rinvio pregiudiziale </w:t>
      </w:r>
      <w:r w:rsidR="0045086A">
        <w:t>sollevato da</w:t>
      </w:r>
      <w:r w:rsidRPr="002F1C69">
        <w:t xml:space="preserve">l Consiglio di Stato </w:t>
      </w:r>
      <w:r w:rsidR="0045086A">
        <w:t xml:space="preserve">– VII Sezione con ordinanza del 15 </w:t>
      </w:r>
      <w:r w:rsidR="007241E8">
        <w:t>settembre 2022 n.8010 in merito al</w:t>
      </w:r>
      <w:r w:rsidR="007241E8" w:rsidRPr="007241E8">
        <w:t xml:space="preserve">la compatibilità </w:t>
      </w:r>
      <w:r w:rsidR="007241E8">
        <w:t>con il diritto dell’Unione e, in particolare, con l’art.49 TUEF</w:t>
      </w:r>
      <w:r w:rsidR="007241E8" w:rsidRPr="007241E8">
        <w:t xml:space="preserve"> dell’art.49 </w:t>
      </w:r>
      <w:r w:rsidR="007241E8">
        <w:t xml:space="preserve">del codice della navigazione, </w:t>
      </w:r>
      <w:r w:rsidR="007241E8" w:rsidRPr="007241E8">
        <w:t xml:space="preserve">che esclude ogni indennizzo in caso di cessazione della concessione e </w:t>
      </w:r>
      <w:r w:rsidR="007241E8" w:rsidRPr="007241E8">
        <w:lastRenderedPageBreak/>
        <w:t xml:space="preserve">la devoluzione al demanio delle opere non amovibili </w:t>
      </w:r>
      <w:r w:rsidR="007241E8">
        <w:t>in ca</w:t>
      </w:r>
      <w:r w:rsidRPr="002F1C69">
        <w:t>so di cessazione della concessione e la devoluzione al demanio delle opere non amovibili, al punto 22 ha precisato: «Siccome il trasferimento della proprietà in questione viene fatto risalire alla fine della concessione (il 31 dicembre 2002) e siccome tale trasferimento è stato accertato con decisione del Comune datata 20 novembre 2007, la direttiva Servizi non risulta applicabile ratione temporis perché la scadenza per la trasposizione di tale direttiva è fissata al 28 dicembre 2009 ai sensi del suo articolo 44, paragrafo 1»</w:t>
      </w:r>
      <w:r w:rsidR="0045086A">
        <w:t>;</w:t>
      </w:r>
      <w:r w:rsidRPr="002F1C69">
        <w:t xml:space="preserve"> </w:t>
      </w:r>
    </w:p>
    <w:p w14:paraId="0A273C7F" w14:textId="77777777" w:rsidR="000911FA" w:rsidRDefault="0045086A" w:rsidP="000911FA">
      <w:pPr>
        <w:jc w:val="both"/>
      </w:pPr>
      <w:r>
        <w:t xml:space="preserve"> </w:t>
      </w:r>
      <w:r w:rsidR="000E25C3">
        <w:t xml:space="preserve"> </w:t>
      </w:r>
      <w:r w:rsidR="00EF4F76" w:rsidRPr="00AA3110">
        <w:t xml:space="preserve"> </w:t>
      </w:r>
      <w:r w:rsidR="00220909">
        <w:t>Visto l</w:t>
      </w:r>
      <w:r w:rsidR="00EF4F76" w:rsidRPr="00AA3110">
        <w:t>'art. 12, comma 6-sexies, decreto-legge 29 dicembre 2022, n.</w:t>
      </w:r>
      <w:r w:rsidR="00220909">
        <w:t xml:space="preserve"> </w:t>
      </w:r>
      <w:r w:rsidR="00EF4F76" w:rsidRPr="00AA3110">
        <w:t>198, introdotto dalla legge di conversione 24 febbraio 2023,  n.  14,</w:t>
      </w:r>
      <w:r w:rsidR="00220909">
        <w:t xml:space="preserve"> con cui </w:t>
      </w:r>
      <w:r w:rsidR="00EF4F76" w:rsidRPr="00AA3110">
        <w:t xml:space="preserve">il termine di scadenza delle concessioni </w:t>
      </w:r>
      <w:r w:rsidR="00EF4F76" w:rsidRPr="00D41A4B">
        <w:rPr>
          <w:i/>
          <w:iCs/>
        </w:rPr>
        <w:t>de quibus</w:t>
      </w:r>
      <w:r w:rsidR="00EF4F76" w:rsidRPr="00AA3110">
        <w:t xml:space="preserve"> </w:t>
      </w:r>
      <w:r w:rsidR="00220909">
        <w:t xml:space="preserve">è </w:t>
      </w:r>
      <w:r w:rsidR="00EF4F76" w:rsidRPr="00AA3110">
        <w:t>stato  fissato</w:t>
      </w:r>
      <w:r w:rsidR="00220909">
        <w:t xml:space="preserve"> </w:t>
      </w:r>
      <w:r w:rsidR="00EF4F76" w:rsidRPr="00AA3110">
        <w:t>al 31 dicembre 2024</w:t>
      </w:r>
      <w:r w:rsidR="00220909">
        <w:t xml:space="preserve"> (nuovo testo art. 3 comma 1 della legge n. 118/2022)</w:t>
      </w:r>
      <w:r w:rsidR="00EF4F76" w:rsidRPr="00AA3110">
        <w:t>, con possibilit</w:t>
      </w:r>
      <w:r w:rsidR="00220909">
        <w:t>à</w:t>
      </w:r>
      <w:r w:rsidR="00EF4F76" w:rsidRPr="00AA3110">
        <w:t xml:space="preserve"> di «slittamento»  sino al 31</w:t>
      </w:r>
      <w:r w:rsidR="00220909">
        <w:t xml:space="preserve"> </w:t>
      </w:r>
      <w:r w:rsidR="00EF4F76" w:rsidRPr="00AA3110">
        <w:t xml:space="preserve">dicembre 2025, in presenza di oggettive </w:t>
      </w:r>
      <w:r w:rsidR="00EF4F76" w:rsidRPr="00FE5B4E">
        <w:t>ragioni tali da impedire la</w:t>
      </w:r>
      <w:r w:rsidR="00220909" w:rsidRPr="00FE5B4E">
        <w:t xml:space="preserve"> </w:t>
      </w:r>
      <w:r w:rsidR="00EF4F76" w:rsidRPr="00FE5B4E">
        <w:t>conclusione  tempestiva  delle  procedure  selettive  (cos</w:t>
      </w:r>
      <w:r w:rsidR="00220909" w:rsidRPr="00FE5B4E">
        <w:t>ì</w:t>
      </w:r>
      <w:r w:rsidR="00EF4F76" w:rsidRPr="00FE5B4E">
        <w:t xml:space="preserve"> l'art.</w:t>
      </w:r>
      <w:r w:rsidR="00D41A4B" w:rsidRPr="00FE5B4E">
        <w:t xml:space="preserve"> </w:t>
      </w:r>
      <w:r w:rsidR="00EF4F76" w:rsidRPr="00FE5B4E">
        <w:t>10-quater, comma 3, del medesimo decreto-le</w:t>
      </w:r>
      <w:r w:rsidR="00FE5B4E" w:rsidRPr="00FE5B4E">
        <w:t>gge)</w:t>
      </w:r>
      <w:r w:rsidRPr="00FE5B4E">
        <w:t>, nonché</w:t>
      </w:r>
      <w:r w:rsidR="00EF4F76" w:rsidRPr="00FE5B4E">
        <w:t xml:space="preserve"> </w:t>
      </w:r>
      <w:r w:rsidR="000911FA">
        <w:t xml:space="preserve">visto </w:t>
      </w:r>
      <w:r w:rsidR="00FE5B4E" w:rsidRPr="00FE5B4E">
        <w:t>l’art.4 comma 4-bis della legge n.118/2022, introdotto dall’art.1 comma 8 lettera b) della legge n.</w:t>
      </w:r>
      <w:r w:rsidR="000911FA">
        <w:t xml:space="preserve"> </w:t>
      </w:r>
      <w:r w:rsidR="00FE5B4E" w:rsidRPr="00FE5B4E">
        <w:t xml:space="preserve">14/2023, </w:t>
      </w:r>
      <w:r w:rsidR="000911FA">
        <w:t xml:space="preserve">che </w:t>
      </w:r>
      <w:r w:rsidR="00FE5B4E" w:rsidRPr="00FE5B4E">
        <w:t>prevedeva</w:t>
      </w:r>
      <w:r w:rsidR="000911FA">
        <w:t xml:space="preserve"> che</w:t>
      </w:r>
      <w:r w:rsidR="00FE5B4E" w:rsidRPr="00FE5B4E">
        <w:t xml:space="preserve"> </w:t>
      </w:r>
      <w:r w:rsidR="000911FA">
        <w:t>f</w:t>
      </w:r>
      <w:r w:rsidR="00FE5B4E" w:rsidRPr="000911FA">
        <w:t xml:space="preserve">ino all'adozione dei decreti legislativi </w:t>
      </w:r>
      <w:r w:rsidR="000911FA">
        <w:t xml:space="preserve">– mai emanati per scadenza della delega - </w:t>
      </w:r>
      <w:r w:rsidR="00FE5B4E" w:rsidRPr="000911FA">
        <w:t>di cui al</w:t>
      </w:r>
      <w:r w:rsidR="000911FA">
        <w:t xml:space="preserve">l’art. 4 comma 1 della stessa legge n. 118/2022 era </w:t>
      </w:r>
      <w:r w:rsidR="00FE5B4E" w:rsidRPr="000911FA">
        <w:t>fatto divieto agli enti concedenti di procedere all'emanazione dei bandi di assegnazione delle concessioni e dei rapporti di cui all'articolo 3, comma 1, lettere a) e b)</w:t>
      </w:r>
      <w:r w:rsidR="000911FA">
        <w:t xml:space="preserve"> della legge sulla concorrenza, sostanzialmente </w:t>
      </w:r>
      <w:r w:rsidR="00FE5B4E" w:rsidRPr="00FE5B4E">
        <w:t>trasforma</w:t>
      </w:r>
      <w:r w:rsidR="000911FA">
        <w:t>ndo</w:t>
      </w:r>
      <w:r w:rsidR="00FE5B4E" w:rsidRPr="00FE5B4E">
        <w:t xml:space="preserve"> a tempo indeterminato </w:t>
      </w:r>
      <w:r w:rsidR="000911FA">
        <w:t xml:space="preserve">la durata </w:t>
      </w:r>
      <w:r w:rsidR="00FE5B4E" w:rsidRPr="00FE5B4E">
        <w:t>delle concessioni demaniali marittime per finalità turistic</w:t>
      </w:r>
      <w:r w:rsidR="000911FA">
        <w:t xml:space="preserve">he e </w:t>
      </w:r>
      <w:r w:rsidR="00FE5B4E" w:rsidRPr="00FE5B4E">
        <w:t xml:space="preserve">ricreative per il blocco </w:t>
      </w:r>
      <w:r w:rsidR="000911FA">
        <w:rPr>
          <w:i/>
          <w:iCs/>
        </w:rPr>
        <w:t xml:space="preserve">sine die </w:t>
      </w:r>
      <w:r w:rsidR="00FE5B4E" w:rsidRPr="00FE5B4E">
        <w:t>delle gare</w:t>
      </w:r>
      <w:r w:rsidR="000911FA">
        <w:t>;</w:t>
      </w:r>
    </w:p>
    <w:p w14:paraId="554E5F3E" w14:textId="455CB344" w:rsidR="000D5107" w:rsidRDefault="000D5107" w:rsidP="000D5107">
      <w:pPr>
        <w:jc w:val="both"/>
      </w:pPr>
      <w:r>
        <w:t xml:space="preserve"> Rilevato che </w:t>
      </w:r>
      <w:r w:rsidRPr="000D5107">
        <w:t xml:space="preserve">il Consiglio di Stato </w:t>
      </w:r>
      <w:r>
        <w:t xml:space="preserve">– VII </w:t>
      </w:r>
      <w:r w:rsidRPr="000D5107">
        <w:t xml:space="preserve">Sezione con sentenze del 1° marzo 2023 n. 2192, del 19 aprile 2023 n. 964, del 7 luglio 2023 n. 6675 e del 28 agosto 2023 n. 7992 n.11200 ha confermato i principi enunciati dalle due sentenze nn.17 e 18 del 2021 dell’Adunanza plenaria, ordinando alle amministrazioni pubbliche concedenti la disapplicazione </w:t>
      </w:r>
      <w:r>
        <w:t xml:space="preserve">anche </w:t>
      </w:r>
      <w:r w:rsidRPr="000D5107">
        <w:t>della normativa sopravvenuta</w:t>
      </w:r>
      <w:r>
        <w:t xml:space="preserve"> con legge n. 14/2023 di conversione del decreto-legge n. 198/2022;</w:t>
      </w:r>
    </w:p>
    <w:p w14:paraId="6FE31AB6" w14:textId="5B6D4623" w:rsidR="000D5107" w:rsidRDefault="000D5107" w:rsidP="000D5107">
      <w:pPr>
        <w:jc w:val="both"/>
      </w:pPr>
      <w:r>
        <w:t xml:space="preserve"> </w:t>
      </w:r>
      <w:r w:rsidRPr="000D5107">
        <w:t>Con</w:t>
      </w:r>
      <w:r>
        <w:t>siderato che la Corte di giustizia dell’Unione con</w:t>
      </w:r>
      <w:r w:rsidRPr="000D5107">
        <w:t xml:space="preserve"> la sentenza Autorità Garante della Concorrenza e del Mercato (Commune de Ginosa) (d’ora innanzi, sentenza AGCM) del 20 aprile 2023 </w:t>
      </w:r>
      <w:r>
        <w:t xml:space="preserve">nella causa C-348/22 </w:t>
      </w:r>
      <w:r w:rsidRPr="000D5107">
        <w:t>ha risposto ai quesiti pregiudiziali del TAR Lecce con l’ordinanza dell’11 maggio 2022</w:t>
      </w:r>
      <w:r>
        <w:t>, ribadendo, i</w:t>
      </w:r>
      <w:r w:rsidRPr="000D5107">
        <w:t>n via preliminare</w:t>
      </w:r>
      <w:r>
        <w:t xml:space="preserve"> (</w:t>
      </w:r>
      <w:r w:rsidRPr="000D5107">
        <w:t>punti 37 e 38</w:t>
      </w:r>
      <w:r>
        <w:t>),</w:t>
      </w:r>
      <w:r w:rsidRPr="000D5107">
        <w:t xml:space="preserve"> che, come risulta da una giurisprudenza costante tra cui vengono richiamati i punti 59 e 61 della sentenza Promoimpresa, qualsiasi misura nazionale adottata in un settore che è stato oggetto di un’armonizzazione esaustiva o completa a livello dell’Unione deve essere valutata in rapporto non alle disposizioni del diritto primario, ma a quelle di tale misura di armonizzazione, precisando che gli articoli da 9 a 13 della direttiva 2006/123/CE provvedono a un’armonizzazione esaustiva concernente i servizi che rientrano nel loro campo di applicazione</w:t>
      </w:r>
      <w:r>
        <w:t xml:space="preserve"> e che, pertanto, </w:t>
      </w:r>
      <w:r w:rsidRPr="000D5107">
        <w:t>le norme primarie del Trattato (gli artt.49, 51 e 56 del TUE</w:t>
      </w:r>
      <w:r>
        <w:t>F</w:t>
      </w:r>
      <w:r w:rsidRPr="000D5107">
        <w:t>) non sono oggetto di delibazione, in presenza di misure di armonizzazione</w:t>
      </w:r>
      <w:r>
        <w:t>;</w:t>
      </w:r>
      <w:r w:rsidRPr="000D5107">
        <w:t xml:space="preserve"> </w:t>
      </w:r>
    </w:p>
    <w:p w14:paraId="4E8B1944" w14:textId="0EAC5EDE" w:rsidR="000D5107" w:rsidRDefault="000D5107" w:rsidP="000D5107">
      <w:pPr>
        <w:jc w:val="both"/>
      </w:pPr>
      <w:r>
        <w:t xml:space="preserve"> Rivelato, inoltre, che la Corte Ue nella citata sentenza AGCM </w:t>
      </w:r>
      <w:r w:rsidRPr="000D5107">
        <w:t>ha respinto l’eccezione di irricevibilità delle questioni pregiudiziali proposte dal TAR Lecce, sollevata dall’A</w:t>
      </w:r>
      <w:r w:rsidR="009E289B">
        <w:t>utorità garante della Concorrenza e del Mercato e dal Governo n</w:t>
      </w:r>
      <w:r w:rsidRPr="000D5107">
        <w:t>elle osservazioni scritte, che sarebbero divenute ipotetiche a seguito dell’abrogazione, da parte della legge n. 118/2022, delle disposizioni nazionali di proroga automatica delle concessioni (</w:t>
      </w:r>
      <w:r w:rsidR="009E289B">
        <w:t xml:space="preserve">sentenza AGCM, </w:t>
      </w:r>
      <w:r w:rsidRPr="000D5107">
        <w:t>punto 31)</w:t>
      </w:r>
      <w:r w:rsidR="009E289B">
        <w:t xml:space="preserve">, precisando </w:t>
      </w:r>
      <w:r w:rsidRPr="000D5107">
        <w:t>che</w:t>
      </w:r>
      <w:r w:rsidRPr="009E289B">
        <w:t>, «a tal riguardo, anche se dette disposizioni, in particolare quelle della legge n. 145/2018, sono state effettivamente abrogate dalla legge n. 118/2022, resta nondimeno il fatto che, quando il Comune di Ginosa ha adottato la delibera controversa, dette disposizioni erano in vigore e tale delibera è stata adottata sulla base delle disposizioni di cui trattasi. Peraltro, dalle informazioni di cui dispone la Corte non risulta che l’abrogazione delle disposizioni nazionali di proroga automatica delle concessioni abbia privato detta delibera dei suoi effetti</w:t>
      </w:r>
      <w:r w:rsidRPr="000D5107">
        <w:t>» (sentenza AGCM, punto 32), facendo chiaramente riferimento alle modifiche normative intervenute con la legge n.14/2023</w:t>
      </w:r>
      <w:r w:rsidR="009E289B">
        <w:t>;</w:t>
      </w:r>
    </w:p>
    <w:p w14:paraId="7684B252" w14:textId="5E39462E" w:rsidR="000D5107" w:rsidRDefault="009E289B" w:rsidP="000D5107">
      <w:pPr>
        <w:jc w:val="both"/>
      </w:pPr>
      <w:r>
        <w:t xml:space="preserve"> Considerato</w:t>
      </w:r>
      <w:r w:rsidR="00F2016E">
        <w:t>, infine,</w:t>
      </w:r>
      <w:r>
        <w:t xml:space="preserve"> che </w:t>
      </w:r>
      <w:r w:rsidR="000D5107" w:rsidRPr="000D5107">
        <w:t xml:space="preserve">la Corte di giustizia </w:t>
      </w:r>
      <w:r>
        <w:t xml:space="preserve">nella stessa sentenza AGCM sembra aver </w:t>
      </w:r>
      <w:r w:rsidR="000D5107" w:rsidRPr="000D5107">
        <w:t xml:space="preserve">interpretato l’art.12 paragrafo 1 della direttiva 2006/123/CE in modo tale da pervenire al risultato utile di rendere comunque inapplicabile la direttiva servizi alle concessioni in corso, da un lato a) per mancanza del presupposto </w:t>
      </w:r>
      <w:r w:rsidR="000D5107" w:rsidRPr="000D5107">
        <w:lastRenderedPageBreak/>
        <w:t xml:space="preserve">fondamentale per l’applicazione della predetta normativa derivata che limita la durata delle autorizzazioni e impone la selezione nella scelta dei concessionari, non avendo lo Stato proprietario del demanio marittimo verificato la scarsità o non scarsità della risorsa naturale (sentenza AGCM, punti 43-49); dall’altro, b) escludendo l’applicabilità della Bolkestein alle concessioni demaniali marittime assegnate prima del 28 dicembre 2009 (sentenza AGCM, punto 73), fattispecie che peraltro ricorreva nella causa pregiudiziale C-348/22 e in quelle decise dalla sentenza Promoimpresa e come evidenziato dalla Commissione europea nelle </w:t>
      </w:r>
      <w:r>
        <w:t xml:space="preserve">citate </w:t>
      </w:r>
      <w:r w:rsidR="000D5107" w:rsidRPr="000D5107">
        <w:t>osservazioni scritte del 2</w:t>
      </w:r>
      <w:r>
        <w:t xml:space="preserve"> febbraio </w:t>
      </w:r>
      <w:r w:rsidR="000D5107" w:rsidRPr="000D5107">
        <w:t>2023 nella causa C-598/22 S.I.I.B. al punto 22</w:t>
      </w:r>
      <w:r>
        <w:t>;</w:t>
      </w:r>
    </w:p>
    <w:p w14:paraId="7DF3F8C7" w14:textId="70DFF34F" w:rsidR="009E289B" w:rsidRDefault="009E289B" w:rsidP="00F2016E">
      <w:pPr>
        <w:jc w:val="both"/>
      </w:pPr>
      <w:r>
        <w:t xml:space="preserve"> </w:t>
      </w:r>
      <w:r w:rsidR="00F2016E">
        <w:t xml:space="preserve">Rilevato che, secondo la </w:t>
      </w:r>
      <w:r w:rsidR="00F2016E" w:rsidRPr="00F2016E">
        <w:t xml:space="preserve">sentenza AGCM </w:t>
      </w:r>
      <w:r w:rsidR="00F2016E">
        <w:t xml:space="preserve">della Corte di giustizia dell’UE, </w:t>
      </w:r>
      <w:r w:rsidR="00F2016E" w:rsidRPr="00F2016E">
        <w:t>spettava allo Stato proprietario del demanio marittimo la verifica della scarsità della risorsa naturale per l’eventuale applicazione dell’art.12 della direttiva 2006/123/CE, coerentemente il Governo iniziava a maggio 2023 e concludeva il 5 ottobre 2023 i lavori del Tavolo tecnico consultivo in materia di concessioni demaniali marittime, lacuali e fluviali, istituito dalla Presidenza del Consiglio dei Ministri ai sensi dell’art.10-quater commi 1 e 2, del d.l. n.198/2022, con il compito di definire i criteri tecnici per la determinazione della sussistenza della scarsità della risorsa naturale disponibile</w:t>
      </w:r>
      <w:r w:rsidR="00F2016E">
        <w:t xml:space="preserve">, e così comunicando la </w:t>
      </w:r>
      <w:r w:rsidR="00F2016E" w:rsidRPr="00F2016E">
        <w:t>Presidenza del Consiglio dei Ministri con la nota ufficiale del 6.10.2023 la insussistenza della scarsità della risorsa naturale costiera, tenendo conto del dato nazionale, secondo un approccio generale e astratto, proporzionato e non discriminatorio</w:t>
      </w:r>
      <w:r w:rsidR="00F2016E">
        <w:t>;</w:t>
      </w:r>
    </w:p>
    <w:p w14:paraId="65B77E5A" w14:textId="026F839B" w:rsidR="00F2016E" w:rsidRDefault="00F2016E" w:rsidP="00D835E9">
      <w:pPr>
        <w:jc w:val="both"/>
      </w:pPr>
      <w:r>
        <w:t xml:space="preserve"> </w:t>
      </w:r>
      <w:r w:rsidR="00D835E9">
        <w:t xml:space="preserve">Considerato che </w:t>
      </w:r>
      <w:r w:rsidR="00D835E9" w:rsidRPr="00D835E9">
        <w:t>la Commissione europea ha notificato al Governo il 16.11.2023 il parere motivato sulle concessioni balneari a conclusione della procedura di infrazione 2020/4118</w:t>
      </w:r>
      <w:r w:rsidR="00D835E9">
        <w:t xml:space="preserve">, </w:t>
      </w:r>
      <w:r w:rsidR="00D835E9" w:rsidRPr="00D835E9">
        <w:t xml:space="preserve">stigmatizzando il fatto che, con le modifiche degli artt.3 e 4 della legge n.118/2022 inserite nella legge di conversione del decreto milleproroghe n.14/2023, le concessioni demaniali marittime, lacuali e fluviali abbiano sostanzialmente durata a tempo indeterminato, </w:t>
      </w:r>
      <w:r w:rsidR="00D835E9">
        <w:t xml:space="preserve">affermando la contrarietà al diritto dell’Unione anche alla luce della sentenza AGCM della Corte di giustizia Ue sia della nuova disciplina in materia di durata delle concessioni balneari introdotta dalla legge n. 14/2023 sia dell’art. 24 comma 3-septies del decreto-legge n.113/2016, </w:t>
      </w:r>
      <w:r w:rsidR="009F7208">
        <w:t xml:space="preserve">censurando i risultati del tavolo governativo sulla non scarsità della risorsa naturale per la non attendibilità dei dati, </w:t>
      </w:r>
      <w:r w:rsidR="00D835E9">
        <w:t xml:space="preserve">senza però prendere posizione su </w:t>
      </w:r>
      <w:r w:rsidR="00D835E9" w:rsidRPr="00D835E9">
        <w:t xml:space="preserve">quanto affermato nella sentenza AGCM della Corte di giustizia al punto 73 e dalla stessa Commissione </w:t>
      </w:r>
      <w:r w:rsidR="00D835E9">
        <w:t xml:space="preserve">europea </w:t>
      </w:r>
      <w:r w:rsidR="00D835E9" w:rsidRPr="00D835E9">
        <w:t xml:space="preserve">nelle osservazioni scritte del 2.2.2023 nella causa C-598/22 S.I.I.B., nella parte in cui </w:t>
      </w:r>
      <w:r w:rsidR="00D835E9">
        <w:t xml:space="preserve">pareva </w:t>
      </w:r>
      <w:r w:rsidR="00D835E9" w:rsidRPr="00D835E9">
        <w:t>chiarito il significato e la portata dell’art.12 paragrafi 1 e 2 della direttiva Bolkestein rispetto a</w:t>
      </w:r>
      <w:r w:rsidR="00D835E9">
        <w:t xml:space="preserve">lle concessioni demaniali marittime </w:t>
      </w:r>
      <w:r w:rsidR="00D835E9" w:rsidRPr="00D835E9">
        <w:t>iniziate prima del 28 dicembre 2009 che, quindi, erano fuori del campo di applicazione della direttiva servizi</w:t>
      </w:r>
      <w:r w:rsidR="00D835E9">
        <w:t>;</w:t>
      </w:r>
    </w:p>
    <w:p w14:paraId="527B16C2" w14:textId="1A640D8D" w:rsidR="00B94C7D" w:rsidRPr="00B94C7D" w:rsidRDefault="00B94C7D" w:rsidP="00B94C7D">
      <w:pPr>
        <w:jc w:val="both"/>
      </w:pPr>
      <w:r>
        <w:t xml:space="preserve"> </w:t>
      </w:r>
      <w:r w:rsidR="002919B3">
        <w:t>Rivelato che, a</w:t>
      </w:r>
      <w:r w:rsidRPr="00B94C7D">
        <w:t xml:space="preserve"> seguito di ricors</w:t>
      </w:r>
      <w:r w:rsidR="002919B3">
        <w:t>i</w:t>
      </w:r>
      <w:r w:rsidRPr="00B94C7D">
        <w:t xml:space="preserve"> per cassazione propost</w:t>
      </w:r>
      <w:r w:rsidR="002919B3">
        <w:t xml:space="preserve">i ai sensi dell’art.111 </w:t>
      </w:r>
      <w:r w:rsidR="0045739D">
        <w:t xml:space="preserve">commi 7 e 8 </w:t>
      </w:r>
      <w:r w:rsidR="002919B3">
        <w:t>della Costituzione</w:t>
      </w:r>
      <w:r w:rsidRPr="00B94C7D">
        <w:t xml:space="preserve"> sia contro la sentenza n. 18 del 9 novembre 2021 dell’Adunanza plenaria che contro la sentenza n. 4072</w:t>
      </w:r>
      <w:r w:rsidR="00311604">
        <w:t>/2022</w:t>
      </w:r>
      <w:r w:rsidRPr="00B94C7D">
        <w:t xml:space="preserve"> del C</w:t>
      </w:r>
      <w:r w:rsidR="002919B3">
        <w:t>onsiglio di Stato</w:t>
      </w:r>
      <w:r w:rsidRPr="00B94C7D">
        <w:t xml:space="preserve">, le </w:t>
      </w:r>
      <w:r w:rsidRPr="002919B3">
        <w:t xml:space="preserve">Sezioni Unite della </w:t>
      </w:r>
      <w:r w:rsidR="002919B3">
        <w:t xml:space="preserve">Suprema Corte di </w:t>
      </w:r>
      <w:r w:rsidRPr="002919B3">
        <w:t>Cassazione:</w:t>
      </w:r>
      <w:r w:rsidR="002919B3">
        <w:t xml:space="preserve"> </w:t>
      </w:r>
      <w:r w:rsidRPr="00B94C7D">
        <w:t xml:space="preserve">a) con la sentenza n. 32559 del 23 novembre 2023 hanno accolto il primo motivo di ricorso proposto da S.I.B. e, in via incidentale adesiva, da Asso.N.A.T. e dalla Regione Abruzzo e hanno annullato la sentenza n. 18 del 2021 della medesima Adunanza plenaria per avere essa «omesso qualsiasi valutazione degli statuti delle associazioni ricorrenti (SIB e ASSONAT), i cui interventi sono stati globalmente dichiarati inammissibili, con conseguente loro estromissione dal giudizio, al pari degli interventi di altre associazioni ed enti eterogenei, anche istituzionali, come la Regione Abruzzo, non già all’esito di una verifica negativa in concreto delle condizioni di ammissibilità dei loro interventi (indicate dalla giurisprudenza amministrativa), ma come effetto di un aprioristico diniego di giustiziabilità dell’interesse collettivo proprio delle stesse associazioni ed enti», «restando assorbito il profilo riguardante la questione di legittimità costituzionale dell’articolo 99, comma 2, cod. proc. amm. (sub 1.1-b) e assorbiti anche tutti gli altri motivi proposti nei ricorsi in esame; di conseguenza, la sentenza impugnata è cassata con rinvio al Consiglio di Stato. Non può essere accolta la richiesta di enunciare, ai sensi dell’articolo 363 cod. proc. civ., i principi di diritto nell’interesse della legge sulle questioni trattate nei restanti motivi assorbiti, sulle quali spetterà al Consiglio di Stato pronunciarsi nuovamente, anche alla luce delle sopravvenienze legislative, avendo il Parlamento e il Governo esercitato, successivamente alla sentenza impugnata, i poteri normativi loro spettanti»; b) con l’ordinanza n. 786 del 9 gennaio 2024 hanno poi </w:t>
      </w:r>
      <w:r w:rsidRPr="00B94C7D">
        <w:lastRenderedPageBreak/>
        <w:t>annullato, conseguentemente, anche la sentenza n. 4072 del 23 maggio 2022 della VII Sezione del Consiglio di Stato, accogliendo i ricorsi di Confindustria Nautica e di Asso.N.A.T.</w:t>
      </w:r>
      <w:r w:rsidR="0045739D">
        <w:t>;</w:t>
      </w:r>
    </w:p>
    <w:p w14:paraId="3FD1D923" w14:textId="77777777" w:rsidR="009F7208" w:rsidRDefault="0045739D" w:rsidP="00B94C7D">
      <w:pPr>
        <w:jc w:val="both"/>
      </w:pPr>
      <w:r>
        <w:t xml:space="preserve"> Considerato che </w:t>
      </w:r>
      <w:r w:rsidR="00B94C7D" w:rsidRPr="00B94C7D">
        <w:t>con sentenza del 27</w:t>
      </w:r>
      <w:r>
        <w:t xml:space="preserve"> dicembre </w:t>
      </w:r>
      <w:r w:rsidR="00B94C7D" w:rsidRPr="00B94C7D">
        <w:t>2023 n.11200 il Consiglio di Stato – Sezione VI al punto 8.6. ha precisato</w:t>
      </w:r>
      <w:r w:rsidR="009F7208">
        <w:t xml:space="preserve"> </w:t>
      </w:r>
      <w:r w:rsidR="00B94C7D" w:rsidRPr="00B94C7D">
        <w:t>la proroga dell</w:t>
      </w:r>
      <w:r w:rsidR="009F7208">
        <w:t xml:space="preserve">e concessioni al 31 dicembre 2033 disposte dai comuni è illegittima e </w:t>
      </w:r>
      <w:r w:rsidR="009F7208">
        <w:rPr>
          <w:rFonts w:cstheme="minorHAnsi"/>
        </w:rPr>
        <w:t>«</w:t>
      </w:r>
      <w:r w:rsidR="00B94C7D" w:rsidRPr="00B94C7D">
        <w:t>risulta tamquam non esset, in applicazione dei principi enunciati dall'Adunanza plenaria del Consiglio di Stato, con la sentenza del 9 novembre 2021, n. 17 (che, a differenza della sentenza n. 18/2021, annullata per diniego di giurisdizione dalla sentenza delle SS.UU. n. 32559/2023, non risulta impugnata)</w:t>
      </w:r>
      <w:r w:rsidR="009F7208">
        <w:rPr>
          <w:rFonts w:cstheme="minorHAnsi"/>
        </w:rPr>
        <w:t>»</w:t>
      </w:r>
      <w:r w:rsidR="009F7208">
        <w:t>;</w:t>
      </w:r>
    </w:p>
    <w:p w14:paraId="4EBA03D9" w14:textId="0E6C5DC2" w:rsidR="0045739D" w:rsidRPr="000D5107" w:rsidRDefault="009F7208" w:rsidP="00B94C7D">
      <w:pPr>
        <w:jc w:val="both"/>
      </w:pPr>
      <w:r>
        <w:t xml:space="preserve"> </w:t>
      </w:r>
      <w:r w:rsidR="0045739D">
        <w:t xml:space="preserve">Rilevato che </w:t>
      </w:r>
      <w:r w:rsidR="00196FA0">
        <w:t xml:space="preserve">con </w:t>
      </w:r>
      <w:r w:rsidR="0045739D" w:rsidRPr="00196FA0">
        <w:t xml:space="preserve">ricorso per cassazione </w:t>
      </w:r>
      <w:r w:rsidR="00196FA0" w:rsidRPr="00196FA0">
        <w:t xml:space="preserve">iscritto a ruolo con il n.5010/2024 </w:t>
      </w:r>
      <w:r w:rsidR="001A5828">
        <w:t xml:space="preserve">r.g.Cass. </w:t>
      </w:r>
      <w:r w:rsidR="0045739D" w:rsidRPr="00196FA0">
        <w:t>davanti alle Sezioni unite della Suprema Corte, ai sensi de</w:t>
      </w:r>
      <w:r w:rsidR="00196FA0">
        <w:t>ll’</w:t>
      </w:r>
      <w:r w:rsidR="0045739D" w:rsidRPr="00196FA0">
        <w:t>art.</w:t>
      </w:r>
      <w:r w:rsidR="00196FA0">
        <w:t xml:space="preserve"> </w:t>
      </w:r>
      <w:r w:rsidR="0045739D" w:rsidRPr="00196FA0">
        <w:t xml:space="preserve">111 commi 7 e 8 Cost., </w:t>
      </w:r>
      <w:r w:rsidR="00196FA0">
        <w:t xml:space="preserve">alcuni </w:t>
      </w:r>
      <w:r w:rsidR="0045739D" w:rsidRPr="00196FA0">
        <w:t>concessionari balneari di Rimini</w:t>
      </w:r>
      <w:r w:rsidR="00196FA0">
        <w:t xml:space="preserve"> hanno chiesto</w:t>
      </w:r>
      <w:r w:rsidR="00DA3120">
        <w:t>, con giudizio ancora pendente,</w:t>
      </w:r>
      <w:r w:rsidR="00196FA0">
        <w:t xml:space="preserve"> </w:t>
      </w:r>
      <w:r w:rsidR="0045739D" w:rsidRPr="00196FA0">
        <w:t xml:space="preserve">l’annullamento anche della sentenza n.17/2021 dell’Adunanza plenaria del Consiglio di Stato nei confronti del Governo </w:t>
      </w:r>
      <w:r w:rsidR="00196FA0">
        <w:t>(costituito)</w:t>
      </w:r>
      <w:r w:rsidR="0045739D" w:rsidRPr="00196FA0">
        <w:t>, dell’</w:t>
      </w:r>
      <w:r w:rsidR="00196FA0">
        <w:t xml:space="preserve">Autorità garante della concorrenza e del mercato (non costituita) </w:t>
      </w:r>
      <w:r w:rsidR="0045739D" w:rsidRPr="00196FA0">
        <w:t xml:space="preserve">e del Comune di Rimini </w:t>
      </w:r>
      <w:r w:rsidR="00196FA0">
        <w:t xml:space="preserve">(non costituito) </w:t>
      </w:r>
      <w:r w:rsidR="0045739D" w:rsidRPr="00196FA0">
        <w:t>come parti controinteressate</w:t>
      </w:r>
      <w:r w:rsidR="00196FA0">
        <w:t xml:space="preserve">, in ragione del fatto che il Comune di Rimini aveva inteso applicare ai ricorrenti concessionari con la delibera di Giunta n.504 del 22 dicembre 2023 la cessazione automatica delle concessioni alla data del 31 dicembre 2023, secondo le disposizioni precettive </w:t>
      </w:r>
      <w:r w:rsidR="00050BE8">
        <w:t>della sentenza n. 17/2021 dell’Adunanza plenaria del Consiglio di Stato e con la proroga “tecnica” fino al 31 dicembre 2024 della durata legittima dell’occupazione del demanio marittimo in attesa dell’espletamento delle gare, come previsto dall’art. 3 comma 3 della legge n. 118/2022 nel testo antecedente alla modifica introdotta dalla legge n. 14/2023</w:t>
      </w:r>
      <w:r w:rsidR="0045739D" w:rsidRPr="00196FA0">
        <w:t>;</w:t>
      </w:r>
    </w:p>
    <w:p w14:paraId="0E4B1210" w14:textId="4678177A" w:rsidR="00311604" w:rsidRDefault="001A5828" w:rsidP="001A5828">
      <w:pPr>
        <w:jc w:val="both"/>
      </w:pPr>
      <w:r>
        <w:t xml:space="preserve"> </w:t>
      </w:r>
      <w:r w:rsidR="00614E0E">
        <w:t>Considerato che c</w:t>
      </w:r>
      <w:r w:rsidRPr="001A5828">
        <w:t>on la sentenza n.4479/2024 del 20 maggio 2024 il Consiglio di Stato – VII Sezione definitivamente pronunciando</w:t>
      </w:r>
      <w:r w:rsidR="00614E0E">
        <w:t xml:space="preserve"> - in sede di riassunzione del giudizio dopo l’annullamento da parte delle Sezioni unite della Cassazione </w:t>
      </w:r>
      <w:r w:rsidR="00311604">
        <w:t>sia del</w:t>
      </w:r>
      <w:r w:rsidR="00311604" w:rsidRPr="00B94C7D">
        <w:t>la sentenza n. 18</w:t>
      </w:r>
      <w:r w:rsidR="00311604">
        <w:t>/2021</w:t>
      </w:r>
      <w:r w:rsidR="00311604" w:rsidRPr="00B94C7D">
        <w:t xml:space="preserve"> dell’Adunanza plenaria che </w:t>
      </w:r>
      <w:r w:rsidR="00311604">
        <w:t>del</w:t>
      </w:r>
      <w:r w:rsidR="00311604" w:rsidRPr="00B94C7D">
        <w:t>la sentenza n. 4072</w:t>
      </w:r>
      <w:r w:rsidR="00311604">
        <w:t>/2022</w:t>
      </w:r>
      <w:r w:rsidR="00311604" w:rsidRPr="00B94C7D">
        <w:t xml:space="preserve"> del C</w:t>
      </w:r>
      <w:r w:rsidR="00311604">
        <w:t>onsiglio di Stato - h</w:t>
      </w:r>
      <w:r w:rsidRPr="001A5828">
        <w:t xml:space="preserve">a accolto </w:t>
      </w:r>
      <w:r w:rsidR="00311604">
        <w:t>l’</w:t>
      </w:r>
      <w:r w:rsidR="00311604" w:rsidRPr="001A5828">
        <w:t>appello proposto dal Comune di Lecce</w:t>
      </w:r>
      <w:r w:rsidR="00311604">
        <w:t xml:space="preserve"> </w:t>
      </w:r>
      <w:r w:rsidRPr="001A5828">
        <w:t>e per l’effetto, in riforma della sentenza impugnata</w:t>
      </w:r>
      <w:r w:rsidR="00311604">
        <w:t xml:space="preserve"> del Tar Lecce</w:t>
      </w:r>
      <w:r w:rsidRPr="001A5828">
        <w:t>, ha respinto integralmente il ricorso proposto in primo grado da</w:t>
      </w:r>
      <w:r w:rsidR="00311604">
        <w:t>l concessionario balneare che chiedeva il diritto alla proroga al 31 dicembre 2033</w:t>
      </w:r>
      <w:r w:rsidR="0047147C">
        <w:t xml:space="preserve"> del titolo concessorio assegnato prima del 28 dicembre 2009, confermando </w:t>
      </w:r>
      <w:r w:rsidR="006D34B0">
        <w:t xml:space="preserve">con la disapplicazione anche delle disposizioni contenute nella legge n. 14/2023 </w:t>
      </w:r>
      <w:r w:rsidR="0047147C">
        <w:t>le statuizioni dell’Adunanza plenaria del 2021 anche in altre due contestuali sentenze nn. 4480/2024 e 4481/2024, la prima delle quali a conclusione del giudizio di appello promosso dall’Autorità garante della concorrenza e del mercato nei confronti del Comune di Ginosa avverso e riformando la sentenza del Tar Lecce che, in accoglimento delle indicazioni della sentenza AGCM della Corte Ue, aveva affermato la compatibilità con il diritto dell’Unione della proroga legislativa disposta dall’art.1 comma 682 della legge n. 145/2018;</w:t>
      </w:r>
    </w:p>
    <w:p w14:paraId="1C2CAD3F" w14:textId="77777777" w:rsidR="00B14F71" w:rsidRDefault="00DA3120" w:rsidP="00B14F71">
      <w:pPr>
        <w:jc w:val="both"/>
        <w:rPr>
          <w:rFonts w:cstheme="minorHAnsi"/>
        </w:rPr>
      </w:pPr>
      <w:r>
        <w:t xml:space="preserve"> Rilevato che </w:t>
      </w:r>
      <w:r w:rsidR="00092B8A">
        <w:t xml:space="preserve">con </w:t>
      </w:r>
      <w:r w:rsidRPr="00DA3120">
        <w:t xml:space="preserve">l’ordinanza di rinvio pregiudiziale del 26 giugno 2024 nella causa C-464/24 Balneari Rimini </w:t>
      </w:r>
      <w:r w:rsidR="00092B8A">
        <w:t xml:space="preserve">il Giudice di pace di Rimini ha proposto alla Corte di giustizia dell’Unione </w:t>
      </w:r>
      <w:r w:rsidR="005D63D3">
        <w:t xml:space="preserve">i seguenti </w:t>
      </w:r>
      <w:r w:rsidRPr="00DA3120">
        <w:t>quattro quesiti</w:t>
      </w:r>
      <w:r w:rsidR="00092B8A">
        <w:t>, che</w:t>
      </w:r>
      <w:r w:rsidRPr="00DA3120">
        <w:t xml:space="preserve"> si fondano su un’interpretazione delle sentenze Promoimpresa e AGCM della Corte Ue che porta ad escludere le concessioni balneari, come concessioni di beni, dal campo di applicazione del diritto dell’Unione sia per quanto riguarda le direttive 2006/123/CE e 2014/23/UE sia per quanto concerne le norme primarie dei Trattati</w:t>
      </w:r>
      <w:r w:rsidR="005D63D3">
        <w:t xml:space="preserve">: </w:t>
      </w:r>
      <w:r w:rsidR="005D63D3">
        <w:rPr>
          <w:rFonts w:cstheme="minorHAnsi"/>
        </w:rPr>
        <w:t>«</w:t>
      </w:r>
      <w:r w:rsidR="005D63D3" w:rsidRPr="005D63D3">
        <w:rPr>
          <w:rFonts w:cstheme="minorHAnsi"/>
        </w:rPr>
        <w:t>Se le concessioni demaniali marittime per finalità turistico-ricreative come quella della società ricorrente – che non svolge una prestazione di servizi determinata dell’ente aggiudicatore, bensì esercita un’attività economica in un’area demaniale statale – rientra[no] o non rientra[no] nella categoria delle concessioni di servizi e, quindi, se entra[no] o non entra[no] nel campo di applicazione delle autorizzazioni di cui alla direttiva servizi 2006/123/CE e/o della direttiva 2014/23/UE, trattandosi di alcuni accordi aventi per oggetto il diritto di un operatore economico di gestire determinati beni o risorse del demanio pubblico, in regime di diritto privato o pubblico, quali terreni, mediante i quali lo Stato fissa unicamente le condizioni generali d’uso dei beni o delle risorse in questione, alla luce di quanto precisato dalla Corte di giustizia dell’Unione ai punti 45-48 della precedente sentenza Promoimpresa S.r.l. e Melis del 14 luglio 2016 nelle cause riunite C-458/14 e C-67/15 (EU:C:2016:558).</w:t>
      </w:r>
      <w:r w:rsidR="005D63D3">
        <w:rPr>
          <w:rFonts w:cstheme="minorHAnsi"/>
        </w:rPr>
        <w:t xml:space="preserve"> </w:t>
      </w:r>
      <w:r w:rsidR="005D63D3" w:rsidRPr="005D63D3">
        <w:rPr>
          <w:rFonts w:cstheme="minorHAnsi"/>
        </w:rPr>
        <w:t xml:space="preserve">A prescindere dalla risposta della Corte al primo quesito, [se] le concessioni balneari come quella di cui è titolare la società ricorrente, iniziate prima del 28 dicembre </w:t>
      </w:r>
      <w:r w:rsidR="005D63D3" w:rsidRPr="005D63D3">
        <w:rPr>
          <w:rFonts w:cstheme="minorHAnsi"/>
        </w:rPr>
        <w:lastRenderedPageBreak/>
        <w:t>2009, sono comunque fuori dal campo di applicazione della direttiva 2006/123/CE ai sensi dell’articolo 44 della stessa direttiva autorizzazioni, come sembrerebbe ricavarsi dal punto 73 della sentenza “Autorità Garante della Concorrenza e del Mercato (Comune di Ginosa)” della Corte del 20 aprile 2023 in causa C-348/22 (EU:C:2023:301).</w:t>
      </w:r>
      <w:r w:rsidR="005D63D3">
        <w:rPr>
          <w:rFonts w:cstheme="minorHAnsi"/>
        </w:rPr>
        <w:t xml:space="preserve"> </w:t>
      </w:r>
      <w:r w:rsidR="005D63D3" w:rsidRPr="005D63D3">
        <w:rPr>
          <w:rFonts w:cstheme="minorHAnsi"/>
        </w:rPr>
        <w:t>A prescindere dalla risposta della Corte al primo e al secondo quesito, [se] l’articolo 195 del Trattato sul funzionamento dell’Unione europea, anche alla luce dell’articolo 345 dello stesso TFUE e dell’articolo 1, paragrafo 5, della direttiva 2006/123/CE, deve essere interpretato nel senso che le concessioni demaniali marittime per finalità turistico-ricreative come quella della società ricorrente, operanti nel settore del turismo, sono escluse dal campo di applicazione delle direttive di armonizzazione, come la direttiva 2006/123/CE.</w:t>
      </w:r>
      <w:r w:rsidR="005D63D3">
        <w:rPr>
          <w:rFonts w:cstheme="minorHAnsi"/>
        </w:rPr>
        <w:t xml:space="preserve"> </w:t>
      </w:r>
      <w:r w:rsidR="005D63D3" w:rsidRPr="005D63D3">
        <w:rPr>
          <w:rFonts w:cstheme="minorHAnsi"/>
        </w:rPr>
        <w:t>A prescindere dalla risposta della Corte al primo, al secondo quesito e al terzo quesito, [se] l’articolo 51 (ex articolo 45 TCE) del Trattato sul funzionamento dell’Unione europea e l’articolo 2, paragrafo 2, lettera i), della direttiva 2006/123/CE devono essere interpretati nel senso che le concessioni demaniali marittime per finalità turistico-ricreative come quelle della società ricorrente, che svolge in maniera costante e non occasionale attività di interesse pubblico sul territorio del demanio statale, quali la salvaguardia della proprietà pubblica, la tutela della salute e dell’igiene pubblica, la tutela del diritto delle persone con disabilità all’accesso alle attività di elioterapia e di balneazione, nonché attività turistiche, culturali e ambientali, sono escluse dal campo di applicazione sia dell’articolo 49 del TFUE. che della direttiva servizi</w:t>
      </w:r>
      <w:r w:rsidR="005D63D3">
        <w:rPr>
          <w:rFonts w:cstheme="minorHAnsi"/>
        </w:rPr>
        <w:t>»;</w:t>
      </w:r>
    </w:p>
    <w:p w14:paraId="5815D3D7" w14:textId="77777777" w:rsidR="00A52265" w:rsidRDefault="00B14F71" w:rsidP="00A52265">
      <w:pPr>
        <w:jc w:val="both"/>
        <w:rPr>
          <w:rFonts w:cstheme="minorHAnsi"/>
          <w:color w:val="000000"/>
          <w:lang w:eastAsia="it-IT"/>
        </w:rPr>
      </w:pPr>
      <w:r>
        <w:rPr>
          <w:rFonts w:cstheme="minorHAnsi"/>
        </w:rPr>
        <w:t xml:space="preserve"> </w:t>
      </w:r>
      <w:r w:rsidR="00A52265">
        <w:rPr>
          <w:rFonts w:cstheme="minorHAnsi"/>
        </w:rPr>
        <w:t>Considerato che</w:t>
      </w:r>
      <w:r w:rsidR="00E74501">
        <w:t xml:space="preserve">, </w:t>
      </w:r>
      <w:r w:rsidR="00E74501" w:rsidRPr="001E5C44">
        <w:rPr>
          <w:i/>
          <w:iCs/>
        </w:rPr>
        <w:t xml:space="preserve">in subiecta </w:t>
      </w:r>
      <w:r w:rsidR="00E74501" w:rsidRPr="00A52265">
        <w:t>materia</w:t>
      </w:r>
      <w:r w:rsidR="00A52265">
        <w:t xml:space="preserve">, </w:t>
      </w:r>
      <w:r w:rsidR="00E74501" w:rsidRPr="00A52265">
        <w:t>è</w:t>
      </w:r>
      <w:r w:rsidR="00E74501">
        <w:t xml:space="preserve"> </w:t>
      </w:r>
      <w:r w:rsidR="00A52265">
        <w:t xml:space="preserve">nuovamente </w:t>
      </w:r>
      <w:r w:rsidR="00E74501">
        <w:t xml:space="preserve">intervenuta la </w:t>
      </w:r>
      <w:r w:rsidR="00A52265">
        <w:t xml:space="preserve">Corte di giustizia Ue con la </w:t>
      </w:r>
      <w:r w:rsidR="00E74501" w:rsidRPr="001E5C44">
        <w:rPr>
          <w:color w:val="000000"/>
          <w:lang w:eastAsia="it-IT"/>
        </w:rPr>
        <w:t>sentenza dell’11 luglio 2024 nella causa C-598/22 S.I.I.B. (</w:t>
      </w:r>
      <w:r w:rsidR="00A52265">
        <w:rPr>
          <w:color w:val="000000"/>
          <w:lang w:eastAsia="it-IT"/>
        </w:rPr>
        <w:t>ECLI:</w:t>
      </w:r>
      <w:r w:rsidR="00E74501" w:rsidRPr="001E5C44">
        <w:rPr>
          <w:color w:val="000000"/>
          <w:lang w:eastAsia="it-IT"/>
        </w:rPr>
        <w:t>EU:C:2024:597)</w:t>
      </w:r>
      <w:r w:rsidR="00A52265">
        <w:rPr>
          <w:color w:val="000000"/>
          <w:lang w:eastAsia="it-IT"/>
        </w:rPr>
        <w:t xml:space="preserve"> (d’ora innanzi, sentenza S.I.I.B.), che ha così risposto all’unico quesito pregiudiziale sollevato dal Consiglio di Stato con l’ordinanza n. 8010/2022: </w:t>
      </w:r>
      <w:r w:rsidR="00A52265">
        <w:rPr>
          <w:rFonts w:cstheme="minorHAnsi"/>
          <w:color w:val="000000"/>
          <w:lang w:eastAsia="it-IT"/>
        </w:rPr>
        <w:t>«</w:t>
      </w:r>
      <w:r w:rsidR="00A52265" w:rsidRPr="00A52265">
        <w:rPr>
          <w:rFonts w:cstheme="minorHAnsi"/>
          <w:color w:val="000000"/>
          <w:lang w:eastAsia="it-IT"/>
        </w:rPr>
        <w:t>L’articolo 49 TFUE deve essere interpretato nel senso che:</w:t>
      </w:r>
      <w:r w:rsidR="00A52265">
        <w:rPr>
          <w:rFonts w:cstheme="minorHAnsi"/>
          <w:color w:val="000000"/>
          <w:lang w:eastAsia="it-IT"/>
        </w:rPr>
        <w:t xml:space="preserve"> </w:t>
      </w:r>
      <w:r w:rsidR="00A52265" w:rsidRPr="00A52265">
        <w:rPr>
          <w:rFonts w:cstheme="minorHAnsi"/>
          <w:color w:val="000000"/>
          <w:lang w:eastAsia="it-IT"/>
        </w:rPr>
        <w:t>esso non osta ad una norma nazionale secondo la quale, alla scadenza di una concessione per l’occupazione del demanio pubblico e salva una diversa pattuizione nell’atto di concessione, il concessionario è tenuto a cedere, immediatamente, gratuitamente e senza indennizzo, le opere non amovibili da esso realizzate nell’area concessa, anche in caso di rinnovo della concessione</w:t>
      </w:r>
      <w:r w:rsidR="00A52265">
        <w:rPr>
          <w:rFonts w:cstheme="minorHAnsi"/>
          <w:color w:val="000000"/>
          <w:lang w:eastAsia="it-IT"/>
        </w:rPr>
        <w:t>»;</w:t>
      </w:r>
    </w:p>
    <w:p w14:paraId="39764085" w14:textId="4A178DDA" w:rsidR="005D63D3" w:rsidRDefault="00A52265" w:rsidP="001A5828">
      <w:pPr>
        <w:jc w:val="both"/>
        <w:rPr>
          <w:rFonts w:cstheme="minorHAnsi"/>
        </w:rPr>
      </w:pPr>
      <w:r>
        <w:rPr>
          <w:rFonts w:cstheme="minorHAnsi"/>
          <w:color w:val="000000"/>
          <w:lang w:eastAsia="it-IT"/>
        </w:rPr>
        <w:t xml:space="preserve"> Considerato, inoltre, che l</w:t>
      </w:r>
      <w:r w:rsidR="00E74501" w:rsidRPr="001E5C44">
        <w:rPr>
          <w:bCs/>
        </w:rPr>
        <w:t>a Corte Ue con la sentenza S.I.I.B.</w:t>
      </w:r>
      <w:r>
        <w:rPr>
          <w:bCs/>
        </w:rPr>
        <w:t xml:space="preserve"> </w:t>
      </w:r>
      <w:r w:rsidR="00E74501" w:rsidRPr="001E5C44">
        <w:rPr>
          <w:bCs/>
        </w:rPr>
        <w:t>ai punti 44-45</w:t>
      </w:r>
      <w:r>
        <w:rPr>
          <w:bCs/>
        </w:rPr>
        <w:t xml:space="preserve"> </w:t>
      </w:r>
      <w:r w:rsidR="00E74501" w:rsidRPr="001E5C44">
        <w:rPr>
          <w:bCs/>
        </w:rPr>
        <w:t>pare non condividere le conclusioni della sentenza Promoimpresa sull’applicazione diretta dell’art.49 TFUE ai fini della declaratoria di illegittimità con la normativa primaria Ue delle proroghe legislative delle concessioni balneari (all’epoca fino al 31.12.2020)</w:t>
      </w:r>
      <w:r>
        <w:rPr>
          <w:bCs/>
        </w:rPr>
        <w:t xml:space="preserve">, </w:t>
      </w:r>
      <w:r w:rsidR="00E74501" w:rsidRPr="001E5C44">
        <w:rPr>
          <w:bCs/>
        </w:rPr>
        <w:t>esclud</w:t>
      </w:r>
      <w:r>
        <w:rPr>
          <w:bCs/>
        </w:rPr>
        <w:t>endo</w:t>
      </w:r>
      <w:r w:rsidR="00E74501" w:rsidRPr="001E5C44">
        <w:rPr>
          <w:bCs/>
        </w:rPr>
        <w:t xml:space="preserve"> che si possa applicare alla fattispecie di causa l’art.56 TFUE sulla libera prestazione di servizi </w:t>
      </w:r>
      <w:r>
        <w:rPr>
          <w:bCs/>
        </w:rPr>
        <w:t xml:space="preserve">e precisando che, trattandosi di concessioni di beni e non di servizi, si tratta, </w:t>
      </w:r>
      <w:r w:rsidR="00E74501" w:rsidRPr="00A52265">
        <w:rPr>
          <w:bCs/>
        </w:rPr>
        <w:t>in buona sostanza, di una questione solo interna all’ordinamento nazionale,</w:t>
      </w:r>
      <w:r w:rsidR="00E74501" w:rsidRPr="001E5C44">
        <w:rPr>
          <w:bCs/>
        </w:rPr>
        <w:t xml:space="preserve"> </w:t>
      </w:r>
      <w:r>
        <w:rPr>
          <w:bCs/>
        </w:rPr>
        <w:t xml:space="preserve">precisando, infine, che </w:t>
      </w:r>
      <w:r w:rsidR="00E74501" w:rsidRPr="001E5C44">
        <w:rPr>
          <w:bCs/>
        </w:rPr>
        <w:t>«</w:t>
      </w:r>
      <w:r w:rsidR="00E74501" w:rsidRPr="00A52265">
        <w:rPr>
          <w:bCs/>
        </w:rPr>
        <w:t>poiché dall’articolo 44, paragrafo 1, primo comma, della direttiva 2006/123 discende che quest’ultima è inapplicabile ratione temporis alla controversia di cui al procedimento principale, la questione pregiudiziale deve essere esaminata soltanto alla luce dell’articolo 49 TFUE</w:t>
      </w:r>
      <w:r w:rsidR="00E74501" w:rsidRPr="001E5C44">
        <w:rPr>
          <w:bCs/>
        </w:rPr>
        <w:t>»</w:t>
      </w:r>
      <w:r>
        <w:rPr>
          <w:bCs/>
        </w:rPr>
        <w:t>, in quanto la concessione demaniale marittima in esame era stata assegnata prima del 28 dicembre 2009 e, quindi, era fuori dal campo di applicazione della direttiva Bolkestein;</w:t>
      </w:r>
      <w:r w:rsidR="005D63D3">
        <w:rPr>
          <w:rFonts w:cstheme="minorHAnsi"/>
        </w:rPr>
        <w:t xml:space="preserve"> </w:t>
      </w:r>
    </w:p>
    <w:p w14:paraId="38D6D3D3" w14:textId="03BDDCB7" w:rsidR="00B91D78" w:rsidRPr="00B91D78" w:rsidRDefault="00752F36" w:rsidP="00B91D78">
      <w:pPr>
        <w:jc w:val="both"/>
        <w:rPr>
          <w:rFonts w:cstheme="minorHAnsi"/>
        </w:rPr>
      </w:pPr>
      <w:r w:rsidRPr="00B90628">
        <w:rPr>
          <w:rFonts w:cstheme="minorHAnsi"/>
        </w:rPr>
        <w:t xml:space="preserve"> </w:t>
      </w:r>
      <w:r w:rsidR="00D924A0">
        <w:rPr>
          <w:rFonts w:cstheme="minorHAnsi"/>
        </w:rPr>
        <w:t xml:space="preserve"> Visti gli articoli 1, 2, commi terzo e quarto, e 3 della l</w:t>
      </w:r>
      <w:r w:rsidR="00D924A0" w:rsidRPr="00D924A0">
        <w:rPr>
          <w:rFonts w:cstheme="minorHAnsi"/>
        </w:rPr>
        <w:t>egge regionale della Toscana n. 30 del 29 luglio 2024,</w:t>
      </w:r>
      <w:r w:rsidR="00D924A0">
        <w:rPr>
          <w:rFonts w:cstheme="minorHAnsi"/>
        </w:rPr>
        <w:t xml:space="preserve"> </w:t>
      </w:r>
      <w:r w:rsidR="00D924A0" w:rsidRPr="00D924A0">
        <w:rPr>
          <w:rFonts w:cstheme="minorHAnsi"/>
        </w:rPr>
        <w:t>rubricata «Disposizioni in materia di concessioni demaniali</w:t>
      </w:r>
      <w:r w:rsidR="00D924A0">
        <w:rPr>
          <w:rFonts w:cstheme="minorHAnsi"/>
        </w:rPr>
        <w:t xml:space="preserve"> </w:t>
      </w:r>
      <w:r w:rsidR="00D924A0" w:rsidRPr="00D924A0">
        <w:rPr>
          <w:rFonts w:cstheme="minorHAnsi"/>
        </w:rPr>
        <w:t xml:space="preserve">marittime. Modifiche alla legge regionale n. 31/2016», </w:t>
      </w:r>
      <w:r w:rsidR="00D924A0">
        <w:rPr>
          <w:rFonts w:cstheme="minorHAnsi"/>
        </w:rPr>
        <w:t xml:space="preserve">che </w:t>
      </w:r>
      <w:r w:rsidR="00D924A0" w:rsidRPr="00D924A0">
        <w:rPr>
          <w:rFonts w:cstheme="minorHAnsi"/>
        </w:rPr>
        <w:t>muove  dal presupposto</w:t>
      </w:r>
      <w:r w:rsidR="00D924A0">
        <w:rPr>
          <w:rFonts w:cstheme="minorHAnsi"/>
        </w:rPr>
        <w:t xml:space="preserve"> </w:t>
      </w:r>
      <w:r w:rsidR="00D924A0" w:rsidRPr="00D924A0">
        <w:rPr>
          <w:rFonts w:cstheme="minorHAnsi"/>
        </w:rPr>
        <w:t>che spetti al legislatore regionale stabilire i  principi</w:t>
      </w:r>
      <w:r w:rsidR="00D924A0">
        <w:rPr>
          <w:rFonts w:cstheme="minorHAnsi"/>
        </w:rPr>
        <w:t xml:space="preserve"> </w:t>
      </w:r>
      <w:r w:rsidR="00D924A0" w:rsidRPr="00D924A0">
        <w:rPr>
          <w:rFonts w:cstheme="minorHAnsi"/>
        </w:rPr>
        <w:t>e  i  criteri  direttivi  sulla cui base effettuare le</w:t>
      </w:r>
      <w:r w:rsidR="00D924A0">
        <w:rPr>
          <w:rFonts w:cstheme="minorHAnsi"/>
        </w:rPr>
        <w:t xml:space="preserve"> </w:t>
      </w:r>
      <w:r w:rsidR="00D924A0" w:rsidRPr="00D924A0">
        <w:rPr>
          <w:rFonts w:cstheme="minorHAnsi"/>
        </w:rPr>
        <w:t>procedure</w:t>
      </w:r>
      <w:r w:rsidR="00D924A0">
        <w:rPr>
          <w:rFonts w:cstheme="minorHAnsi"/>
        </w:rPr>
        <w:t xml:space="preserve"> </w:t>
      </w:r>
      <w:r w:rsidR="00D924A0" w:rsidRPr="00D924A0">
        <w:rPr>
          <w:rFonts w:cstheme="minorHAnsi"/>
        </w:rPr>
        <w:t>comparative per l'assegnazione delle concessioni demaniali per</w:t>
      </w:r>
      <w:r w:rsidR="00D924A0">
        <w:rPr>
          <w:rFonts w:cstheme="minorHAnsi"/>
        </w:rPr>
        <w:t xml:space="preserve"> </w:t>
      </w:r>
      <w:r w:rsidR="00D924A0" w:rsidRPr="00D924A0">
        <w:rPr>
          <w:rFonts w:cstheme="minorHAnsi"/>
        </w:rPr>
        <w:t>finalit</w:t>
      </w:r>
      <w:r w:rsidR="00D924A0">
        <w:rPr>
          <w:rFonts w:cstheme="minorHAnsi"/>
        </w:rPr>
        <w:t>à</w:t>
      </w:r>
      <w:r w:rsidR="00D924A0" w:rsidRPr="00D924A0">
        <w:rPr>
          <w:rFonts w:cstheme="minorHAnsi"/>
        </w:rPr>
        <w:t xml:space="preserve"> turistico-ricreative e definire</w:t>
      </w:r>
      <w:r w:rsidR="00D924A0">
        <w:rPr>
          <w:rFonts w:cstheme="minorHAnsi"/>
        </w:rPr>
        <w:t xml:space="preserve">, </w:t>
      </w:r>
      <w:r w:rsidR="00D924A0" w:rsidRPr="00D924A0">
        <w:rPr>
          <w:rFonts w:cstheme="minorHAnsi"/>
        </w:rPr>
        <w:t>«nelle more del</w:t>
      </w:r>
      <w:r w:rsidR="00D924A0">
        <w:rPr>
          <w:rFonts w:cstheme="minorHAnsi"/>
        </w:rPr>
        <w:t xml:space="preserve"> </w:t>
      </w:r>
      <w:r w:rsidR="00D924A0" w:rsidRPr="00D924A0">
        <w:rPr>
          <w:rFonts w:cstheme="minorHAnsi"/>
        </w:rPr>
        <w:t>riordino della disciplina statale in materia»</w:t>
      </w:r>
      <w:r w:rsidR="00D924A0">
        <w:rPr>
          <w:rFonts w:cstheme="minorHAnsi"/>
        </w:rPr>
        <w:t xml:space="preserve">, </w:t>
      </w:r>
      <w:r w:rsidR="00D924A0" w:rsidRPr="00D924A0">
        <w:rPr>
          <w:rFonts w:cstheme="minorHAnsi"/>
        </w:rPr>
        <w:t>i criteri per  la  determinazione  dell'indennizzo,</w:t>
      </w:r>
      <w:r w:rsidR="00D924A0">
        <w:rPr>
          <w:rFonts w:cstheme="minorHAnsi"/>
        </w:rPr>
        <w:t xml:space="preserve"> </w:t>
      </w:r>
      <w:r w:rsidR="00D924A0" w:rsidRPr="00D924A0">
        <w:rPr>
          <w:rFonts w:cstheme="minorHAnsi"/>
        </w:rPr>
        <w:t>demandando la loro concreta individuazione  a  un  provvedimento  (le</w:t>
      </w:r>
      <w:r w:rsidR="00D924A0">
        <w:rPr>
          <w:rFonts w:cstheme="minorHAnsi"/>
        </w:rPr>
        <w:t xml:space="preserve"> </w:t>
      </w:r>
      <w:r w:rsidR="00D924A0" w:rsidRPr="00D924A0">
        <w:rPr>
          <w:rFonts w:cstheme="minorHAnsi"/>
        </w:rPr>
        <w:t>«linee guida») attribuito alla competenza dalla Giunta regionale</w:t>
      </w:r>
      <w:r w:rsidR="009017AF">
        <w:rPr>
          <w:rFonts w:cstheme="minorHAnsi"/>
        </w:rPr>
        <w:t xml:space="preserve">; stabilendo </w:t>
      </w:r>
      <w:r w:rsidR="00D924A0" w:rsidRPr="00D924A0">
        <w:rPr>
          <w:rFonts w:cstheme="minorHAnsi"/>
        </w:rPr>
        <w:t>di incorporare, a tal</w:t>
      </w:r>
      <w:r w:rsidR="009017AF">
        <w:rPr>
          <w:rFonts w:cstheme="minorHAnsi"/>
        </w:rPr>
        <w:t xml:space="preserve"> </w:t>
      </w:r>
      <w:r w:rsidR="00D924A0" w:rsidRPr="00D924A0">
        <w:rPr>
          <w:rFonts w:cstheme="minorHAnsi"/>
        </w:rPr>
        <w:t>fine,   nell'ordinamento</w:t>
      </w:r>
      <w:r w:rsidR="009017AF">
        <w:rPr>
          <w:rFonts w:cstheme="minorHAnsi"/>
        </w:rPr>
        <w:t xml:space="preserve"> </w:t>
      </w:r>
      <w:r w:rsidR="00D924A0" w:rsidRPr="00D924A0">
        <w:rPr>
          <w:rFonts w:cstheme="minorHAnsi"/>
        </w:rPr>
        <w:t>regionale le previsioni contenute nella legge n. 118 del 2022, in</w:t>
      </w:r>
      <w:r w:rsidR="009017AF">
        <w:rPr>
          <w:rFonts w:cstheme="minorHAnsi"/>
        </w:rPr>
        <w:t xml:space="preserve"> </w:t>
      </w:r>
      <w:r w:rsidR="00D924A0" w:rsidRPr="00D924A0">
        <w:rPr>
          <w:rFonts w:cstheme="minorHAnsi"/>
        </w:rPr>
        <w:t>forma di criteri di delegazione legislativa  (poi  non  esercitata  a</w:t>
      </w:r>
      <w:r w:rsidR="009017AF">
        <w:rPr>
          <w:rFonts w:cstheme="minorHAnsi"/>
        </w:rPr>
        <w:t xml:space="preserve"> </w:t>
      </w:r>
      <w:r w:rsidR="00D924A0" w:rsidRPr="00D924A0">
        <w:rPr>
          <w:rFonts w:cstheme="minorHAnsi"/>
        </w:rPr>
        <w:t>livello statale)</w:t>
      </w:r>
      <w:r w:rsidR="009017AF">
        <w:rPr>
          <w:rFonts w:cstheme="minorHAnsi"/>
        </w:rPr>
        <w:t>;</w:t>
      </w:r>
      <w:r w:rsidR="00D924A0" w:rsidRPr="00D924A0">
        <w:rPr>
          <w:rFonts w:cstheme="minorHAnsi"/>
        </w:rPr>
        <w:t xml:space="preserve"> defin</w:t>
      </w:r>
      <w:r w:rsidR="009017AF">
        <w:rPr>
          <w:rFonts w:cstheme="minorHAnsi"/>
        </w:rPr>
        <w:t>endo altresì</w:t>
      </w:r>
      <w:r w:rsidR="00D924A0" w:rsidRPr="00D924A0">
        <w:rPr>
          <w:rFonts w:cstheme="minorHAnsi"/>
        </w:rPr>
        <w:t xml:space="preserve"> un</w:t>
      </w:r>
      <w:r w:rsidR="009017AF">
        <w:rPr>
          <w:rFonts w:cstheme="minorHAnsi"/>
        </w:rPr>
        <w:t xml:space="preserve"> </w:t>
      </w:r>
      <w:r w:rsidR="00D924A0" w:rsidRPr="00D924A0">
        <w:rPr>
          <w:rFonts w:cstheme="minorHAnsi"/>
        </w:rPr>
        <w:t>aspetto essenziale della procedura di affidamento, quale i criteri di</w:t>
      </w:r>
      <w:r w:rsidR="009017AF">
        <w:rPr>
          <w:rFonts w:cstheme="minorHAnsi"/>
        </w:rPr>
        <w:t xml:space="preserve"> </w:t>
      </w:r>
      <w:r w:rsidR="00D924A0" w:rsidRPr="00D924A0">
        <w:rPr>
          <w:rFonts w:cstheme="minorHAnsi"/>
        </w:rPr>
        <w:t>scelta  del  contraente,  introducendo  un  criterio  di  premialit</w:t>
      </w:r>
      <w:r w:rsidR="009017AF">
        <w:rPr>
          <w:rFonts w:cstheme="minorHAnsi"/>
        </w:rPr>
        <w:t xml:space="preserve">à </w:t>
      </w:r>
      <w:r w:rsidR="00D924A0" w:rsidRPr="00D924A0">
        <w:rPr>
          <w:rFonts w:cstheme="minorHAnsi"/>
        </w:rPr>
        <w:t>(«l'essere  micro,  piccola  o  media  impresa   turistico-ricreativa</w:t>
      </w:r>
      <w:r w:rsidR="009017AF">
        <w:rPr>
          <w:rFonts w:cstheme="minorHAnsi"/>
        </w:rPr>
        <w:t xml:space="preserve"> </w:t>
      </w:r>
      <w:r w:rsidR="00D924A0" w:rsidRPr="00D924A0">
        <w:rPr>
          <w:rFonts w:cstheme="minorHAnsi"/>
        </w:rPr>
        <w:t>operante in ambito demaniale marittimo») e  confermando quello gi</w:t>
      </w:r>
      <w:r w:rsidR="009017AF">
        <w:rPr>
          <w:rFonts w:cstheme="minorHAnsi"/>
        </w:rPr>
        <w:t xml:space="preserve">à </w:t>
      </w:r>
      <w:r w:rsidR="00D924A0" w:rsidRPr="00D924A0">
        <w:rPr>
          <w:rFonts w:cstheme="minorHAnsi"/>
        </w:rPr>
        <w:t>contenuto</w:t>
      </w:r>
      <w:r w:rsidR="009017AF">
        <w:rPr>
          <w:rFonts w:cstheme="minorHAnsi"/>
        </w:rPr>
        <w:t xml:space="preserve"> </w:t>
      </w:r>
      <w:r w:rsidR="00D924A0" w:rsidRPr="00D924A0">
        <w:rPr>
          <w:rFonts w:cstheme="minorHAnsi"/>
        </w:rPr>
        <w:t>nella lettera b) dell'art. 2, comma 1, dell</w:t>
      </w:r>
      <w:r w:rsidR="009017AF">
        <w:rPr>
          <w:rFonts w:cstheme="minorHAnsi"/>
        </w:rPr>
        <w:t>a</w:t>
      </w:r>
      <w:r w:rsidR="00D924A0" w:rsidRPr="00D924A0">
        <w:rPr>
          <w:rFonts w:cstheme="minorHAnsi"/>
        </w:rPr>
        <w:t xml:space="preserve"> legge</w:t>
      </w:r>
      <w:r w:rsidR="009017AF">
        <w:rPr>
          <w:rFonts w:cstheme="minorHAnsi"/>
        </w:rPr>
        <w:t xml:space="preserve"> </w:t>
      </w:r>
      <w:r w:rsidR="00D924A0" w:rsidRPr="00D924A0">
        <w:rPr>
          <w:rFonts w:cstheme="minorHAnsi"/>
        </w:rPr>
        <w:t>regionale n. 31 del 2016, riferito alla presentazione di progetti di</w:t>
      </w:r>
      <w:r w:rsidR="009017AF">
        <w:rPr>
          <w:rFonts w:cstheme="minorHAnsi"/>
        </w:rPr>
        <w:t xml:space="preserve"> </w:t>
      </w:r>
      <w:r w:rsidR="00D924A0" w:rsidRPr="00D924A0">
        <w:rPr>
          <w:rFonts w:cstheme="minorHAnsi"/>
        </w:rPr>
        <w:t>riqualificazione ambientale e  di  valorizzazione  paesaggistica  del</w:t>
      </w:r>
      <w:r w:rsidR="009017AF">
        <w:rPr>
          <w:rFonts w:cstheme="minorHAnsi"/>
        </w:rPr>
        <w:t xml:space="preserve"> </w:t>
      </w:r>
      <w:r w:rsidR="00D924A0" w:rsidRPr="00D924A0">
        <w:rPr>
          <w:rFonts w:cstheme="minorHAnsi"/>
        </w:rPr>
        <w:lastRenderedPageBreak/>
        <w:t>territorio costiero</w:t>
      </w:r>
      <w:r w:rsidR="009017AF">
        <w:rPr>
          <w:rFonts w:cstheme="minorHAnsi"/>
        </w:rPr>
        <w:t xml:space="preserve">; infine, </w:t>
      </w:r>
      <w:r w:rsidR="00D924A0" w:rsidRPr="00D924A0">
        <w:rPr>
          <w:rFonts w:cstheme="minorHAnsi"/>
        </w:rPr>
        <w:t>disciplina</w:t>
      </w:r>
      <w:r w:rsidR="009017AF">
        <w:rPr>
          <w:rFonts w:cstheme="minorHAnsi"/>
        </w:rPr>
        <w:t>ndo</w:t>
      </w:r>
      <w:r w:rsidR="00D924A0" w:rsidRPr="00D924A0">
        <w:rPr>
          <w:rFonts w:cstheme="minorHAnsi"/>
        </w:rPr>
        <w:t xml:space="preserve"> un</w:t>
      </w:r>
      <w:r w:rsidR="009017AF">
        <w:rPr>
          <w:rFonts w:cstheme="minorHAnsi"/>
        </w:rPr>
        <w:t xml:space="preserve"> </w:t>
      </w:r>
      <w:r w:rsidR="00D924A0" w:rsidRPr="00D924A0">
        <w:rPr>
          <w:rFonts w:cstheme="minorHAnsi"/>
        </w:rPr>
        <w:t>altro aspetto essenziale delle  procedure  di  affidamento,  come  il</w:t>
      </w:r>
      <w:r w:rsidR="009017AF">
        <w:rPr>
          <w:rFonts w:cstheme="minorHAnsi"/>
        </w:rPr>
        <w:t xml:space="preserve"> </w:t>
      </w:r>
      <w:r w:rsidR="00D924A0" w:rsidRPr="00D924A0">
        <w:rPr>
          <w:rFonts w:cstheme="minorHAnsi"/>
        </w:rPr>
        <w:t>riconoscimento di un indennizzo al concessionario uscente da porre a</w:t>
      </w:r>
      <w:r w:rsidR="009017AF">
        <w:rPr>
          <w:rFonts w:cstheme="minorHAnsi"/>
        </w:rPr>
        <w:t xml:space="preserve"> </w:t>
      </w:r>
      <w:r w:rsidR="00D924A0" w:rsidRPr="00D924A0">
        <w:rPr>
          <w:rFonts w:cstheme="minorHAnsi"/>
        </w:rPr>
        <w:t>carico del subentrante</w:t>
      </w:r>
      <w:r w:rsidR="009017AF">
        <w:rPr>
          <w:rFonts w:cstheme="minorHAnsi"/>
        </w:rPr>
        <w:t xml:space="preserve">, </w:t>
      </w:r>
      <w:r w:rsidR="009017AF" w:rsidRPr="009017AF">
        <w:rPr>
          <w:rFonts w:cstheme="minorHAnsi"/>
        </w:rPr>
        <w:t>attribu</w:t>
      </w:r>
      <w:r w:rsidR="009017AF">
        <w:rPr>
          <w:rFonts w:cstheme="minorHAnsi"/>
        </w:rPr>
        <w:t>endo</w:t>
      </w:r>
      <w:r w:rsidR="009017AF" w:rsidRPr="009017AF">
        <w:rPr>
          <w:rFonts w:cstheme="minorHAnsi"/>
        </w:rPr>
        <w:t xml:space="preserve"> alla Giunta regionale il potere di adottare provvedimenti</w:t>
      </w:r>
      <w:r w:rsidR="009017AF">
        <w:rPr>
          <w:rFonts w:cstheme="minorHAnsi"/>
        </w:rPr>
        <w:t xml:space="preserve"> </w:t>
      </w:r>
      <w:r w:rsidR="009017AF" w:rsidRPr="009017AF">
        <w:rPr>
          <w:rFonts w:cstheme="minorHAnsi"/>
        </w:rPr>
        <w:t>generali riguardo alla determinazione  dell'indennizzo  spettante ai</w:t>
      </w:r>
      <w:r w:rsidR="009017AF">
        <w:rPr>
          <w:rFonts w:cstheme="minorHAnsi"/>
        </w:rPr>
        <w:t xml:space="preserve"> </w:t>
      </w:r>
      <w:r w:rsidR="009017AF" w:rsidRPr="009017AF">
        <w:rPr>
          <w:rFonts w:cstheme="minorHAnsi"/>
        </w:rPr>
        <w:t>concessionari uscenti,</w:t>
      </w:r>
      <w:r w:rsidR="009017AF">
        <w:rPr>
          <w:rFonts w:cstheme="minorHAnsi"/>
        </w:rPr>
        <w:t xml:space="preserve"> </w:t>
      </w:r>
      <w:r w:rsidR="00B91D78">
        <w:rPr>
          <w:rFonts w:cstheme="minorHAnsi"/>
        </w:rPr>
        <w:t xml:space="preserve">da </w:t>
      </w:r>
      <w:r w:rsidR="00B91D78" w:rsidRPr="00B91D78">
        <w:rPr>
          <w:rFonts w:cstheme="minorHAnsi"/>
        </w:rPr>
        <w:t>commisura</w:t>
      </w:r>
      <w:r w:rsidR="00B91D78">
        <w:rPr>
          <w:rFonts w:cstheme="minorHAnsi"/>
        </w:rPr>
        <w:t>re</w:t>
      </w:r>
      <w:r w:rsidR="00B91D78" w:rsidRPr="00B91D78">
        <w:rPr>
          <w:rFonts w:cstheme="minorHAnsi"/>
        </w:rPr>
        <w:t xml:space="preserve"> al valore</w:t>
      </w:r>
      <w:r w:rsidR="00B91D78">
        <w:rPr>
          <w:rFonts w:cstheme="minorHAnsi"/>
        </w:rPr>
        <w:t xml:space="preserve"> </w:t>
      </w:r>
      <w:r w:rsidR="00B91D78" w:rsidRPr="00B91D78">
        <w:rPr>
          <w:rFonts w:cstheme="minorHAnsi"/>
        </w:rPr>
        <w:t>aziendale dell'impresa, attestato da una  perizia  giurata di stima</w:t>
      </w:r>
      <w:r w:rsidR="00B91D78">
        <w:rPr>
          <w:rFonts w:cstheme="minorHAnsi"/>
        </w:rPr>
        <w:t xml:space="preserve"> </w:t>
      </w:r>
      <w:r w:rsidR="00B91D78" w:rsidRPr="00B91D78">
        <w:rPr>
          <w:rFonts w:cstheme="minorHAnsi"/>
        </w:rPr>
        <w:t>redatta da un professionista abilitato, a cura</w:t>
      </w:r>
      <w:r w:rsidR="00B91D78">
        <w:rPr>
          <w:rFonts w:cstheme="minorHAnsi"/>
        </w:rPr>
        <w:t xml:space="preserve"> </w:t>
      </w:r>
      <w:r w:rsidR="00B91D78" w:rsidRPr="00B91D78">
        <w:rPr>
          <w:rFonts w:cstheme="minorHAnsi"/>
        </w:rPr>
        <w:t>e spese del</w:t>
      </w:r>
      <w:r w:rsidR="00B91D78">
        <w:rPr>
          <w:rFonts w:cstheme="minorHAnsi"/>
        </w:rPr>
        <w:t xml:space="preserve"> </w:t>
      </w:r>
      <w:r w:rsidR="00B91D78" w:rsidRPr="00B91D78">
        <w:rPr>
          <w:rFonts w:cstheme="minorHAnsi"/>
        </w:rPr>
        <w:t>concessionario uscente,  considerando sia il residuo ammortamento</w:t>
      </w:r>
      <w:r w:rsidR="00B91D78">
        <w:rPr>
          <w:rFonts w:cstheme="minorHAnsi"/>
        </w:rPr>
        <w:t xml:space="preserve"> </w:t>
      </w:r>
      <w:r w:rsidR="00B91D78" w:rsidRPr="00B91D78">
        <w:rPr>
          <w:rFonts w:cstheme="minorHAnsi"/>
        </w:rPr>
        <w:t>degli investimenti realizzati nel  corso  del  rapporto  concessorio,</w:t>
      </w:r>
      <w:r w:rsidR="00B91D78">
        <w:rPr>
          <w:rFonts w:cstheme="minorHAnsi"/>
        </w:rPr>
        <w:t xml:space="preserve"> </w:t>
      </w:r>
      <w:r w:rsidR="00B91D78" w:rsidRPr="00B91D78">
        <w:rPr>
          <w:rFonts w:cstheme="minorHAnsi"/>
        </w:rPr>
        <w:t>autorizzati ove necessario dall'ente concedente, sia il valore</w:t>
      </w:r>
      <w:r w:rsidR="00B91D78">
        <w:rPr>
          <w:rFonts w:cstheme="minorHAnsi"/>
        </w:rPr>
        <w:t xml:space="preserve"> </w:t>
      </w:r>
      <w:r w:rsidR="00B91D78" w:rsidRPr="00B91D78">
        <w:rPr>
          <w:rFonts w:cstheme="minorHAnsi"/>
        </w:rPr>
        <w:t>reddituale dell'impresa turistico-balneare, come  definita  dall'art.</w:t>
      </w:r>
      <w:r w:rsidR="00B91D78">
        <w:rPr>
          <w:rFonts w:cstheme="minorHAnsi"/>
        </w:rPr>
        <w:t xml:space="preserve"> </w:t>
      </w:r>
      <w:r w:rsidR="00B91D78" w:rsidRPr="00B91D78">
        <w:rPr>
          <w:rFonts w:cstheme="minorHAnsi"/>
        </w:rPr>
        <w:t>11, comma 6, della legge 15 dicembre 2011, n. 217</w:t>
      </w:r>
      <w:r w:rsidR="00B91D78">
        <w:rPr>
          <w:rFonts w:cstheme="minorHAnsi"/>
        </w:rPr>
        <w:t>;</w:t>
      </w:r>
    </w:p>
    <w:p w14:paraId="09D7DEE6" w14:textId="49FDEA36" w:rsidR="00756B8D" w:rsidRDefault="00B91D78" w:rsidP="00B90628">
      <w:pPr>
        <w:jc w:val="both"/>
        <w:rPr>
          <w:rFonts w:cstheme="minorHAnsi"/>
        </w:rPr>
      </w:pPr>
      <w:r>
        <w:rPr>
          <w:rFonts w:cstheme="minorHAnsi"/>
        </w:rPr>
        <w:t xml:space="preserve"> </w:t>
      </w:r>
      <w:r w:rsidR="00B90628">
        <w:rPr>
          <w:rFonts w:cstheme="minorHAnsi"/>
        </w:rPr>
        <w:t xml:space="preserve">Vista la nuova </w:t>
      </w:r>
      <w:r w:rsidR="00B90628" w:rsidRPr="00B90628">
        <w:rPr>
          <w:rFonts w:cstheme="minorHAnsi"/>
        </w:rPr>
        <w:t>disciplina del settore</w:t>
      </w:r>
      <w:r w:rsidR="00B90628">
        <w:rPr>
          <w:rFonts w:cstheme="minorHAnsi"/>
        </w:rPr>
        <w:t>, introdotta dal Governo</w:t>
      </w:r>
      <w:r w:rsidR="000D713D">
        <w:rPr>
          <w:rFonts w:cstheme="minorHAnsi"/>
        </w:rPr>
        <w:t xml:space="preserve"> con decretazione d’urgenza -</w:t>
      </w:r>
      <w:r w:rsidR="00B90628">
        <w:rPr>
          <w:rFonts w:cstheme="minorHAnsi"/>
        </w:rPr>
        <w:t xml:space="preserve"> dopo un articolato confronto e la finale intesa con la Commissione europea</w:t>
      </w:r>
      <w:r w:rsidR="000D713D">
        <w:rPr>
          <w:rFonts w:cstheme="minorHAnsi"/>
        </w:rPr>
        <w:t xml:space="preserve"> per far archiviare la procedura di infrazione 2020/4811 -</w:t>
      </w:r>
      <w:r w:rsidR="00B90628">
        <w:rPr>
          <w:rFonts w:cstheme="minorHAnsi"/>
        </w:rPr>
        <w:t>,</w:t>
      </w:r>
      <w:r w:rsidR="00B90628" w:rsidRPr="00B90628">
        <w:rPr>
          <w:rFonts w:cstheme="minorHAnsi"/>
        </w:rPr>
        <w:t xml:space="preserve"> </w:t>
      </w:r>
      <w:r w:rsidR="00B90628">
        <w:rPr>
          <w:rFonts w:cstheme="minorHAnsi"/>
        </w:rPr>
        <w:t>con l’ar</w:t>
      </w:r>
      <w:r w:rsidR="00B90628" w:rsidRPr="00B90628">
        <w:rPr>
          <w:rFonts w:cstheme="minorHAnsi"/>
        </w:rPr>
        <w:t xml:space="preserve">t.1 </w:t>
      </w:r>
      <w:r w:rsidR="00B90628">
        <w:rPr>
          <w:rFonts w:cstheme="minorHAnsi"/>
        </w:rPr>
        <w:t>(</w:t>
      </w:r>
      <w:r w:rsidR="00B90628" w:rsidRPr="00B90628">
        <w:t xml:space="preserve">recante </w:t>
      </w:r>
      <w:r w:rsidR="00B90628" w:rsidRPr="00B90628">
        <w:rPr>
          <w:rFonts w:cstheme="minorHAnsi"/>
        </w:rPr>
        <w:t>«Disposizioni urgenti in materia di concessioni demaniali marittime, lacuali e fluviali per finalità turistico-ricreative e sportive - Procedura di infrazione n. 2020/4118»</w:t>
      </w:r>
      <w:r w:rsidR="00B90628">
        <w:rPr>
          <w:rFonts w:cstheme="minorHAnsi"/>
        </w:rPr>
        <w:t xml:space="preserve">) </w:t>
      </w:r>
      <w:r w:rsidR="00B90628" w:rsidRPr="00B90628">
        <w:rPr>
          <w:rFonts w:cstheme="minorHAnsi"/>
        </w:rPr>
        <w:t>del decreto</w:t>
      </w:r>
      <w:r w:rsidR="00B90628">
        <w:rPr>
          <w:rFonts w:cstheme="minorHAnsi"/>
        </w:rPr>
        <w:t>-</w:t>
      </w:r>
      <w:r w:rsidR="00B90628" w:rsidRPr="00B90628">
        <w:rPr>
          <w:rFonts w:cstheme="minorHAnsi"/>
        </w:rPr>
        <w:t>leg</w:t>
      </w:r>
      <w:r w:rsidR="00B90628">
        <w:rPr>
          <w:rFonts w:cstheme="minorHAnsi"/>
        </w:rPr>
        <w:t>ge</w:t>
      </w:r>
      <w:r w:rsidR="00B90628" w:rsidRPr="00B90628">
        <w:rPr>
          <w:rFonts w:cstheme="minorHAnsi"/>
        </w:rPr>
        <w:t xml:space="preserve"> 1</w:t>
      </w:r>
      <w:r w:rsidR="009903D4">
        <w:rPr>
          <w:rFonts w:cstheme="minorHAnsi"/>
        </w:rPr>
        <w:t>6</w:t>
      </w:r>
      <w:r w:rsidR="00B90628" w:rsidRPr="00B90628">
        <w:rPr>
          <w:rFonts w:cstheme="minorHAnsi"/>
        </w:rPr>
        <w:t xml:space="preserve"> settembre 2024 n.131</w:t>
      </w:r>
      <w:r w:rsidR="00B90628">
        <w:rPr>
          <w:rFonts w:cstheme="minorHAnsi"/>
        </w:rPr>
        <w:t xml:space="preserve"> </w:t>
      </w:r>
      <w:r w:rsidR="00B90628" w:rsidRPr="00B90628">
        <w:rPr>
          <w:rFonts w:cstheme="minorHAnsi"/>
        </w:rPr>
        <w:t>[</w:t>
      </w:r>
      <w:r w:rsidR="00B90628">
        <w:rPr>
          <w:rFonts w:cstheme="minorHAnsi"/>
        </w:rPr>
        <w:t>recante «</w:t>
      </w:r>
      <w:r w:rsidR="00B90628" w:rsidRPr="00B90628">
        <w:rPr>
          <w:rFonts w:cstheme="minorHAnsi"/>
        </w:rPr>
        <w:t>Disposizioni urgenti per l'attuazione di obblighi derivanti da atti dell'Unione europea e da procedure di infrazione e pre-infrazione pendenti nei confronti dello Stato italiano. (24G00149)</w:t>
      </w:r>
      <w:r w:rsidR="00B90628">
        <w:rPr>
          <w:rFonts w:cstheme="minorHAnsi"/>
        </w:rPr>
        <w:t>»</w:t>
      </w:r>
      <w:r w:rsidR="00B90628" w:rsidRPr="00B90628">
        <w:rPr>
          <w:rFonts w:cstheme="minorHAnsi"/>
        </w:rPr>
        <w:t>], convertito con modificazioni dalla legge n.166/2024, con la modifica dell’art.3 commi 1 e 2 della legge n.118/2022, la riscrittura dell’art.4 della legge n.118/2022 e l’abrogazione dell’art.10-quater del d.l. n.198/2022, prevedendo la proroga delle concessioni demaniali marittime per uso turistic</w:t>
      </w:r>
      <w:r w:rsidR="00B90628">
        <w:rPr>
          <w:rFonts w:cstheme="minorHAnsi"/>
        </w:rPr>
        <w:t xml:space="preserve">he e </w:t>
      </w:r>
      <w:r w:rsidR="00B90628" w:rsidRPr="00B90628">
        <w:rPr>
          <w:rFonts w:cstheme="minorHAnsi"/>
        </w:rPr>
        <w:t>ricreativ</w:t>
      </w:r>
      <w:r w:rsidR="00B90628">
        <w:rPr>
          <w:rFonts w:cstheme="minorHAnsi"/>
        </w:rPr>
        <w:t>e</w:t>
      </w:r>
      <w:r w:rsidR="00B90628" w:rsidRPr="00B90628">
        <w:rPr>
          <w:rFonts w:cstheme="minorHAnsi"/>
        </w:rPr>
        <w:t xml:space="preserve"> e sportiv</w:t>
      </w:r>
      <w:r w:rsidR="00B90628">
        <w:rPr>
          <w:rFonts w:cstheme="minorHAnsi"/>
        </w:rPr>
        <w:t>e</w:t>
      </w:r>
      <w:r w:rsidR="00B90628" w:rsidRPr="00B90628">
        <w:rPr>
          <w:rFonts w:cstheme="minorHAnsi"/>
        </w:rPr>
        <w:t xml:space="preserve"> al 30 settembre 2027 e il termine </w:t>
      </w:r>
      <w:r w:rsidR="000D713D">
        <w:rPr>
          <w:rFonts w:cstheme="minorHAnsi"/>
        </w:rPr>
        <w:t xml:space="preserve">massimo </w:t>
      </w:r>
      <w:r w:rsidR="00B90628" w:rsidRPr="00B90628">
        <w:rPr>
          <w:rFonts w:cstheme="minorHAnsi"/>
        </w:rPr>
        <w:t>al 30 giugno 2027 per l’indizione delle gare per nuove assegnazioni delle concessioni</w:t>
      </w:r>
      <w:r w:rsidR="00756B8D">
        <w:rPr>
          <w:rFonts w:cstheme="minorHAnsi"/>
        </w:rPr>
        <w:t>;</w:t>
      </w:r>
    </w:p>
    <w:p w14:paraId="70E4D224" w14:textId="1336212D" w:rsidR="000D713D" w:rsidRPr="000D713D" w:rsidRDefault="000D713D" w:rsidP="000D713D">
      <w:pPr>
        <w:jc w:val="both"/>
        <w:rPr>
          <w:rFonts w:cstheme="minorHAnsi"/>
        </w:rPr>
      </w:pPr>
      <w:r>
        <w:rPr>
          <w:rFonts w:cstheme="minorHAnsi"/>
        </w:rPr>
        <w:t xml:space="preserve"> Considerato</w:t>
      </w:r>
      <w:r w:rsidR="00CB316B">
        <w:rPr>
          <w:rFonts w:cstheme="minorHAnsi"/>
        </w:rPr>
        <w:t xml:space="preserve"> </w:t>
      </w:r>
      <w:r>
        <w:rPr>
          <w:rFonts w:cstheme="minorHAnsi"/>
        </w:rPr>
        <w:t xml:space="preserve">che il nuovo testo dell’art. 4 della legge n. 118/2022, come riscritto dall’art. 1 del decreto-legge n. 118/2022, ha previsto </w:t>
      </w:r>
      <w:r w:rsidRPr="000D713D">
        <w:rPr>
          <w:rFonts w:cstheme="minorHAnsi"/>
        </w:rPr>
        <w:t>che il concessionario  uscente</w:t>
      </w:r>
      <w:r>
        <w:rPr>
          <w:rFonts w:cstheme="minorHAnsi"/>
        </w:rPr>
        <w:t xml:space="preserve"> </w:t>
      </w:r>
      <w:r w:rsidRPr="000D713D">
        <w:rPr>
          <w:rFonts w:cstheme="minorHAnsi"/>
        </w:rPr>
        <w:t>ha diritto al riconoscimento di un indennizzo, a carico del</w:t>
      </w:r>
      <w:r>
        <w:rPr>
          <w:rFonts w:cstheme="minorHAnsi"/>
        </w:rPr>
        <w:t xml:space="preserve"> </w:t>
      </w:r>
      <w:r w:rsidRPr="000D713D">
        <w:rPr>
          <w:rFonts w:cstheme="minorHAnsi"/>
        </w:rPr>
        <w:t>concessionario</w:t>
      </w:r>
      <w:r>
        <w:rPr>
          <w:rFonts w:cstheme="minorHAnsi"/>
        </w:rPr>
        <w:t xml:space="preserve"> </w:t>
      </w:r>
      <w:r w:rsidRPr="000D713D">
        <w:rPr>
          <w:rFonts w:cstheme="minorHAnsi"/>
        </w:rPr>
        <w:t>subentrante, pari  al  valore  degli   investimenti</w:t>
      </w:r>
      <w:r>
        <w:rPr>
          <w:rFonts w:cstheme="minorHAnsi"/>
        </w:rPr>
        <w:t xml:space="preserve"> </w:t>
      </w:r>
      <w:r w:rsidRPr="000D713D">
        <w:rPr>
          <w:rFonts w:cstheme="minorHAnsi"/>
        </w:rPr>
        <w:t>effettuati e non ancora ammortizzati al termine della concessione,</w:t>
      </w:r>
      <w:r>
        <w:rPr>
          <w:rFonts w:cstheme="minorHAnsi"/>
        </w:rPr>
        <w:t xml:space="preserve"> </w:t>
      </w:r>
      <w:r w:rsidRPr="000D713D">
        <w:rPr>
          <w:rFonts w:cstheme="minorHAnsi"/>
        </w:rPr>
        <w:t>ivi compresi gli investimenti effettuati in conseguenza di</w:t>
      </w:r>
      <w:r>
        <w:rPr>
          <w:rFonts w:cstheme="minorHAnsi"/>
        </w:rPr>
        <w:t xml:space="preserve"> </w:t>
      </w:r>
      <w:r w:rsidRPr="000D713D">
        <w:rPr>
          <w:rFonts w:cstheme="minorHAnsi"/>
        </w:rPr>
        <w:t>eventi</w:t>
      </w:r>
      <w:r>
        <w:rPr>
          <w:rFonts w:cstheme="minorHAnsi"/>
        </w:rPr>
        <w:t xml:space="preserve"> </w:t>
      </w:r>
      <w:r w:rsidRPr="000D713D">
        <w:rPr>
          <w:rFonts w:cstheme="minorHAnsi"/>
        </w:rPr>
        <w:t>calamitosi debitamente dichiarati dalle autorit</w:t>
      </w:r>
      <w:r>
        <w:rPr>
          <w:rFonts w:cstheme="minorHAnsi"/>
        </w:rPr>
        <w:t>à</w:t>
      </w:r>
      <w:r w:rsidRPr="000D713D">
        <w:rPr>
          <w:rFonts w:cstheme="minorHAnsi"/>
        </w:rPr>
        <w:t xml:space="preserve"> competenti  ovvero</w:t>
      </w:r>
      <w:r>
        <w:rPr>
          <w:rFonts w:cstheme="minorHAnsi"/>
        </w:rPr>
        <w:t xml:space="preserve"> </w:t>
      </w:r>
      <w:r w:rsidRPr="000D713D">
        <w:rPr>
          <w:rFonts w:cstheme="minorHAnsi"/>
        </w:rPr>
        <w:t>in conseguenza di sopravvenuti obblighi di legge, al  netto di ogni</w:t>
      </w:r>
      <w:r>
        <w:rPr>
          <w:rFonts w:cstheme="minorHAnsi"/>
        </w:rPr>
        <w:t xml:space="preserve"> </w:t>
      </w:r>
      <w:r w:rsidRPr="000D713D">
        <w:rPr>
          <w:rFonts w:cstheme="minorHAnsi"/>
        </w:rPr>
        <w:t>misura di aiuto o sovvenzione pubblica eventualmente percepita e non</w:t>
      </w:r>
      <w:r>
        <w:rPr>
          <w:rFonts w:cstheme="minorHAnsi"/>
        </w:rPr>
        <w:t xml:space="preserve"> </w:t>
      </w:r>
      <w:r w:rsidRPr="000D713D">
        <w:rPr>
          <w:rFonts w:cstheme="minorHAnsi"/>
        </w:rPr>
        <w:t xml:space="preserve">rimborsata,  </w:t>
      </w:r>
      <w:r>
        <w:rPr>
          <w:rFonts w:cstheme="minorHAnsi"/>
        </w:rPr>
        <w:t xml:space="preserve">nonché </w:t>
      </w:r>
      <w:r w:rsidRPr="000D713D">
        <w:rPr>
          <w:rFonts w:cstheme="minorHAnsi"/>
        </w:rPr>
        <w:t>pari  a quanto necessario per garantire al</w:t>
      </w:r>
      <w:r>
        <w:rPr>
          <w:rFonts w:cstheme="minorHAnsi"/>
        </w:rPr>
        <w:t xml:space="preserve"> </w:t>
      </w:r>
      <w:r w:rsidRPr="000D713D">
        <w:rPr>
          <w:rFonts w:cstheme="minorHAnsi"/>
        </w:rPr>
        <w:t>concessionario  uscente  un'equa  remunerazione sugli investimenti</w:t>
      </w:r>
      <w:r>
        <w:rPr>
          <w:rFonts w:cstheme="minorHAnsi"/>
        </w:rPr>
        <w:t xml:space="preserve"> </w:t>
      </w:r>
      <w:r w:rsidRPr="000D713D">
        <w:rPr>
          <w:rFonts w:cstheme="minorHAnsi"/>
        </w:rPr>
        <w:t>effettuati negli ultimi cinque</w:t>
      </w:r>
      <w:r>
        <w:rPr>
          <w:rFonts w:cstheme="minorHAnsi"/>
        </w:rPr>
        <w:t xml:space="preserve"> </w:t>
      </w:r>
      <w:r w:rsidRPr="000D713D">
        <w:rPr>
          <w:rFonts w:cstheme="minorHAnsi"/>
        </w:rPr>
        <w:t>anni</w:t>
      </w:r>
      <w:r>
        <w:rPr>
          <w:rFonts w:cstheme="minorHAnsi"/>
        </w:rPr>
        <w:t>, rinviando, per</w:t>
      </w:r>
      <w:r w:rsidRPr="000D713D">
        <w:rPr>
          <w:rFonts w:cstheme="minorHAnsi"/>
        </w:rPr>
        <w:t xml:space="preserve"> definire</w:t>
      </w:r>
      <w:r>
        <w:rPr>
          <w:rFonts w:cstheme="minorHAnsi"/>
        </w:rPr>
        <w:t xml:space="preserve"> </w:t>
      </w:r>
      <w:r w:rsidRPr="000D713D">
        <w:rPr>
          <w:rFonts w:cstheme="minorHAnsi"/>
        </w:rPr>
        <w:t>i criteri per</w:t>
      </w:r>
      <w:r>
        <w:rPr>
          <w:rFonts w:cstheme="minorHAnsi"/>
        </w:rPr>
        <w:t xml:space="preserve"> </w:t>
      </w:r>
      <w:r w:rsidRPr="000D713D">
        <w:rPr>
          <w:rFonts w:cstheme="minorHAnsi"/>
        </w:rPr>
        <w:t>calcolare tale equa remunerazione, all'emanazione di un</w:t>
      </w:r>
      <w:r>
        <w:rPr>
          <w:rFonts w:cstheme="minorHAnsi"/>
        </w:rPr>
        <w:t xml:space="preserve"> </w:t>
      </w:r>
      <w:r w:rsidRPr="000D713D">
        <w:rPr>
          <w:rFonts w:cstheme="minorHAnsi"/>
        </w:rPr>
        <w:t>decreto  del Ministro delle infrastrutture e dei  trasporti, di</w:t>
      </w:r>
      <w:r>
        <w:rPr>
          <w:rFonts w:cstheme="minorHAnsi"/>
        </w:rPr>
        <w:t xml:space="preserve"> </w:t>
      </w:r>
      <w:r w:rsidRPr="000D713D">
        <w:rPr>
          <w:rFonts w:cstheme="minorHAnsi"/>
        </w:rPr>
        <w:t>concerto con il Ministro dell'economia e delle finanze da adottarsi</w:t>
      </w:r>
      <w:r>
        <w:rPr>
          <w:rFonts w:cstheme="minorHAnsi"/>
        </w:rPr>
        <w:t xml:space="preserve"> </w:t>
      </w:r>
      <w:r w:rsidRPr="000D713D">
        <w:rPr>
          <w:rFonts w:cstheme="minorHAnsi"/>
        </w:rPr>
        <w:t>entro il 31 marzo 2025,  la  cui  mancata  adozione  non  giustifica,</w:t>
      </w:r>
      <w:r>
        <w:rPr>
          <w:rFonts w:cstheme="minorHAnsi"/>
        </w:rPr>
        <w:t xml:space="preserve"> </w:t>
      </w:r>
      <w:r w:rsidRPr="000D713D">
        <w:rPr>
          <w:rFonts w:cstheme="minorHAnsi"/>
        </w:rPr>
        <w:t>tuttavia, il mancato avvio della procedura di affidamento</w:t>
      </w:r>
      <w:r>
        <w:rPr>
          <w:rFonts w:cstheme="minorHAnsi"/>
        </w:rPr>
        <w:t>, precisando,</w:t>
      </w:r>
      <w:r w:rsidR="00CB316B">
        <w:rPr>
          <w:rFonts w:cstheme="minorHAnsi"/>
        </w:rPr>
        <w:t xml:space="preserve"> </w:t>
      </w:r>
      <w:r>
        <w:rPr>
          <w:rFonts w:cstheme="minorHAnsi"/>
        </w:rPr>
        <w:t xml:space="preserve">altresì, che </w:t>
      </w:r>
      <w:r w:rsidRPr="000D713D">
        <w:rPr>
          <w:rFonts w:cstheme="minorHAnsi"/>
        </w:rPr>
        <w:t>il valore degli investimenti effettuati e non ammortizzati e</w:t>
      </w:r>
      <w:r>
        <w:rPr>
          <w:rFonts w:cstheme="minorHAnsi"/>
        </w:rPr>
        <w:t xml:space="preserve"> </w:t>
      </w:r>
      <w:r w:rsidRPr="000D713D">
        <w:rPr>
          <w:rFonts w:cstheme="minorHAnsi"/>
        </w:rPr>
        <w:t>di quanto necessario a garantire un'equa remunerazione</w:t>
      </w:r>
      <w:r>
        <w:rPr>
          <w:rFonts w:cstheme="minorHAnsi"/>
        </w:rPr>
        <w:t xml:space="preserve"> </w:t>
      </w:r>
      <w:r w:rsidRPr="000D713D">
        <w:rPr>
          <w:rFonts w:cstheme="minorHAnsi"/>
        </w:rPr>
        <w:t>sar</w:t>
      </w:r>
      <w:r>
        <w:rPr>
          <w:rFonts w:cstheme="minorHAnsi"/>
        </w:rPr>
        <w:t xml:space="preserve">à </w:t>
      </w:r>
      <w:r w:rsidRPr="000D713D">
        <w:rPr>
          <w:rFonts w:cstheme="minorHAnsi"/>
        </w:rPr>
        <w:t>determinato con un'apposita perizia acquisita dall'ente concedente</w:t>
      </w:r>
      <w:r>
        <w:rPr>
          <w:rFonts w:cstheme="minorHAnsi"/>
        </w:rPr>
        <w:t xml:space="preserve"> </w:t>
      </w:r>
      <w:r w:rsidRPr="000D713D">
        <w:rPr>
          <w:rFonts w:cstheme="minorHAnsi"/>
        </w:rPr>
        <w:t>prima della pubblicazione del bando di gara, con spese a</w:t>
      </w:r>
      <w:r w:rsidR="00CB316B">
        <w:rPr>
          <w:rFonts w:cstheme="minorHAnsi"/>
        </w:rPr>
        <w:t xml:space="preserve"> </w:t>
      </w:r>
      <w:r w:rsidRPr="000D713D">
        <w:rPr>
          <w:rFonts w:cstheme="minorHAnsi"/>
        </w:rPr>
        <w:t>carico</w:t>
      </w:r>
      <w:r w:rsidR="00CB316B">
        <w:rPr>
          <w:rFonts w:cstheme="minorHAnsi"/>
        </w:rPr>
        <w:t xml:space="preserve"> </w:t>
      </w:r>
      <w:r w:rsidRPr="000D713D">
        <w:rPr>
          <w:rFonts w:cstheme="minorHAnsi"/>
        </w:rPr>
        <w:t>del</w:t>
      </w:r>
      <w:r>
        <w:rPr>
          <w:rFonts w:cstheme="minorHAnsi"/>
        </w:rPr>
        <w:t xml:space="preserve"> </w:t>
      </w:r>
      <w:r w:rsidRPr="000D713D">
        <w:rPr>
          <w:rFonts w:cstheme="minorHAnsi"/>
        </w:rPr>
        <w:t>concessionario uscente</w:t>
      </w:r>
      <w:r w:rsidR="00CB316B">
        <w:rPr>
          <w:rFonts w:cstheme="minorHAnsi"/>
        </w:rPr>
        <w:t xml:space="preserve">, </w:t>
      </w:r>
      <w:r w:rsidRPr="000D713D">
        <w:rPr>
          <w:rFonts w:cstheme="minorHAnsi"/>
        </w:rPr>
        <w:t>rilasciata in forma</w:t>
      </w:r>
      <w:r w:rsidR="00CB316B">
        <w:rPr>
          <w:rFonts w:cstheme="minorHAnsi"/>
        </w:rPr>
        <w:t xml:space="preserve"> </w:t>
      </w:r>
      <w:r w:rsidRPr="000D713D">
        <w:rPr>
          <w:rFonts w:cstheme="minorHAnsi"/>
        </w:rPr>
        <w:t>asseverata e con esplicita dichiarazione</w:t>
      </w:r>
      <w:r w:rsidR="00CB316B">
        <w:rPr>
          <w:rFonts w:cstheme="minorHAnsi"/>
        </w:rPr>
        <w:t xml:space="preserve"> </w:t>
      </w:r>
      <w:r w:rsidRPr="000D713D">
        <w:rPr>
          <w:rFonts w:cstheme="minorHAnsi"/>
        </w:rPr>
        <w:t>di responsabilit</w:t>
      </w:r>
      <w:r w:rsidR="00CB316B">
        <w:rPr>
          <w:rFonts w:cstheme="minorHAnsi"/>
        </w:rPr>
        <w:t xml:space="preserve">à </w:t>
      </w:r>
      <w:r w:rsidRPr="000D713D">
        <w:rPr>
          <w:rFonts w:cstheme="minorHAnsi"/>
        </w:rPr>
        <w:t>da parte</w:t>
      </w:r>
      <w:r w:rsidR="00CB316B">
        <w:rPr>
          <w:rFonts w:cstheme="minorHAnsi"/>
        </w:rPr>
        <w:t xml:space="preserve"> </w:t>
      </w:r>
      <w:r w:rsidRPr="000D713D">
        <w:rPr>
          <w:rFonts w:cstheme="minorHAnsi"/>
        </w:rPr>
        <w:t>di un professionista nominato dal medesimo ente concedente tra cinque</w:t>
      </w:r>
      <w:r w:rsidR="00CB316B">
        <w:rPr>
          <w:rFonts w:cstheme="minorHAnsi"/>
        </w:rPr>
        <w:t xml:space="preserve"> </w:t>
      </w:r>
      <w:r w:rsidRPr="000D713D">
        <w:rPr>
          <w:rFonts w:cstheme="minorHAnsi"/>
        </w:rPr>
        <w:t>nominativi  indicati dal presidente del Consiglio nazionale dei</w:t>
      </w:r>
      <w:r w:rsidR="00CB316B">
        <w:rPr>
          <w:rFonts w:cstheme="minorHAnsi"/>
        </w:rPr>
        <w:t xml:space="preserve"> </w:t>
      </w:r>
      <w:r w:rsidRPr="000D713D">
        <w:rPr>
          <w:rFonts w:cstheme="minorHAnsi"/>
        </w:rPr>
        <w:t>dottori commercialisti e degli esperti contabili</w:t>
      </w:r>
      <w:r w:rsidR="00CB316B">
        <w:rPr>
          <w:rFonts w:cstheme="minorHAnsi"/>
        </w:rPr>
        <w:t xml:space="preserve">; </w:t>
      </w:r>
    </w:p>
    <w:p w14:paraId="13335541" w14:textId="77777777" w:rsidR="00281B65" w:rsidRDefault="00CB316B" w:rsidP="00B90628">
      <w:pPr>
        <w:jc w:val="both"/>
        <w:rPr>
          <w:rFonts w:cstheme="minorHAnsi"/>
        </w:rPr>
      </w:pPr>
      <w:r>
        <w:rPr>
          <w:rFonts w:cstheme="minorHAnsi"/>
        </w:rPr>
        <w:t xml:space="preserve"> Rilevato, infine, che </w:t>
      </w:r>
      <w:r w:rsidR="00B90628" w:rsidRPr="00B90628">
        <w:rPr>
          <w:rFonts w:cstheme="minorHAnsi"/>
        </w:rPr>
        <w:t>l’art.1 del d.l. n.131/2024</w:t>
      </w:r>
      <w:r w:rsidR="00281B65">
        <w:rPr>
          <w:rFonts w:cstheme="minorHAnsi"/>
        </w:rPr>
        <w:t xml:space="preserve"> </w:t>
      </w:r>
      <w:r w:rsidR="00B90628" w:rsidRPr="00B90628">
        <w:rPr>
          <w:rFonts w:cstheme="minorHAnsi"/>
        </w:rPr>
        <w:t>ha tolto ogni riferimento nel nuovo testo dell’art.4 della legge n.118/2022 ad una disciplina di riordino o revisione della materia</w:t>
      </w:r>
      <w:r w:rsidR="00281B65">
        <w:rPr>
          <w:rFonts w:cstheme="minorHAnsi"/>
        </w:rPr>
        <w:t xml:space="preserve"> </w:t>
      </w:r>
      <w:r w:rsidR="00281B65" w:rsidRPr="00281B65">
        <w:rPr>
          <w:rFonts w:cstheme="minorHAnsi"/>
        </w:rPr>
        <w:t xml:space="preserve">con piena reviviscenza dell’art.24 comma 3-septies d.l. 113/2016 </w:t>
      </w:r>
      <w:r w:rsidR="00281B65">
        <w:rPr>
          <w:rFonts w:cstheme="minorHAnsi"/>
        </w:rPr>
        <w:t xml:space="preserve">e della durata sine die o indeterminata per le concessioni demaniali marittime iniziate prima del 28 dicembre 2009, e, al </w:t>
      </w:r>
      <w:r w:rsidR="00281B65" w:rsidRPr="00281B65">
        <w:rPr>
          <w:rFonts w:cstheme="minorHAnsi"/>
        </w:rPr>
        <w:t>comma 1 n.1.1) alinea</w:t>
      </w:r>
      <w:r w:rsidR="00281B65">
        <w:rPr>
          <w:rFonts w:cstheme="minorHAnsi"/>
        </w:rPr>
        <w:t>, lo stesso articolo</w:t>
      </w:r>
      <w:r w:rsidR="00281B65" w:rsidRPr="00281B65">
        <w:rPr>
          <w:rFonts w:cstheme="minorHAnsi"/>
        </w:rPr>
        <w:t xml:space="preserve"> prevede che «gli effetti della disposizione di cui al presente numero non pregiudicano la validità delle procedure selettive nonché la decorrenza del rapporto concessorio, deliberati anteriormente al 30 settembre 2027 con adeguata motivazione ai sensi dell'articolo 3 della legge 7 agosto 1990, n. 241, nel rispetto, limitatamente alle procedure avviate successivamente all'entrata in vigore del presente decreto, delle nuove modalità e dei criteri previsti dall’articolo 4 legge 5 agosto 2022, n. 118»</w:t>
      </w:r>
      <w:r w:rsidR="00281B65">
        <w:rPr>
          <w:rFonts w:cstheme="minorHAnsi"/>
        </w:rPr>
        <w:t>;</w:t>
      </w:r>
    </w:p>
    <w:p w14:paraId="19AF2C23" w14:textId="645438B1" w:rsidR="00F60B37" w:rsidRDefault="00281B65" w:rsidP="00F60B37">
      <w:pPr>
        <w:jc w:val="both"/>
        <w:rPr>
          <w:rFonts w:cstheme="minorHAnsi"/>
        </w:rPr>
      </w:pPr>
      <w:r>
        <w:rPr>
          <w:rFonts w:cstheme="minorHAnsi"/>
        </w:rPr>
        <w:t xml:space="preserve"> </w:t>
      </w:r>
      <w:r w:rsidR="008A7004">
        <w:rPr>
          <w:rFonts w:cstheme="minorHAnsi"/>
        </w:rPr>
        <w:t xml:space="preserve">Considerato che con ricorso n. 37/2024 ai sensi dell’art. 127 della Costituzione </w:t>
      </w:r>
      <w:r w:rsidR="008A7004" w:rsidRPr="008A7004">
        <w:rPr>
          <w:rFonts w:cstheme="minorHAnsi"/>
        </w:rPr>
        <w:t>depositato il 4 ottobre  2024</w:t>
      </w:r>
      <w:r w:rsidR="008A7004">
        <w:rPr>
          <w:rFonts w:cstheme="minorHAnsi"/>
        </w:rPr>
        <w:t xml:space="preserve"> i</w:t>
      </w:r>
      <w:r w:rsidR="008A7004" w:rsidRPr="008A7004">
        <w:rPr>
          <w:rFonts w:cstheme="minorHAnsi"/>
        </w:rPr>
        <w:t>l Presidente del Consiglio dei</w:t>
      </w:r>
      <w:r w:rsidR="008A7004">
        <w:rPr>
          <w:rFonts w:cstheme="minorHAnsi"/>
        </w:rPr>
        <w:t xml:space="preserve"> </w:t>
      </w:r>
      <w:r w:rsidR="008A7004" w:rsidRPr="008A7004">
        <w:rPr>
          <w:rFonts w:cstheme="minorHAnsi"/>
        </w:rPr>
        <w:t>ministri</w:t>
      </w:r>
      <w:r w:rsidR="008A7004">
        <w:rPr>
          <w:rFonts w:cstheme="minorHAnsi"/>
        </w:rPr>
        <w:t xml:space="preserve"> ha impugnato gli artt. 1, 2, commi terzo e quarto, e 3 della l</w:t>
      </w:r>
      <w:r w:rsidR="008A7004" w:rsidRPr="00D924A0">
        <w:rPr>
          <w:rFonts w:cstheme="minorHAnsi"/>
        </w:rPr>
        <w:t>egge regionale della Toscana n. 30 del 29 luglio 2024,</w:t>
      </w:r>
      <w:r w:rsidR="008A7004">
        <w:rPr>
          <w:rFonts w:cstheme="minorHAnsi"/>
        </w:rPr>
        <w:t xml:space="preserve"> perché, alla luce della nuova disciplina statale introdotta </w:t>
      </w:r>
      <w:r w:rsidR="008A7004">
        <w:rPr>
          <w:rFonts w:cstheme="minorHAnsi"/>
        </w:rPr>
        <w:lastRenderedPageBreak/>
        <w:t xml:space="preserve">dall’art. 1 del decreto-legge n. 131/2024, detta disciplina </w:t>
      </w:r>
      <w:r w:rsidR="009A2E15">
        <w:rPr>
          <w:rFonts w:cstheme="minorHAnsi"/>
        </w:rPr>
        <w:t xml:space="preserve">regionale </w:t>
      </w:r>
      <w:r w:rsidR="008A7004" w:rsidRPr="008A7004">
        <w:rPr>
          <w:rFonts w:cstheme="minorHAnsi"/>
        </w:rPr>
        <w:t>invade la</w:t>
      </w:r>
      <w:r w:rsidR="008A7004">
        <w:rPr>
          <w:rFonts w:cstheme="minorHAnsi"/>
        </w:rPr>
        <w:t xml:space="preserve"> </w:t>
      </w:r>
      <w:r w:rsidR="008A7004" w:rsidRPr="008A7004">
        <w:rPr>
          <w:rFonts w:cstheme="minorHAnsi"/>
        </w:rPr>
        <w:t xml:space="preserve">competenza esclusiva dello Stato, </w:t>
      </w:r>
      <w:r w:rsidR="00F60B37">
        <w:rPr>
          <w:rFonts w:cstheme="minorHAnsi"/>
        </w:rPr>
        <w:t>i</w:t>
      </w:r>
      <w:r w:rsidR="008A7004" w:rsidRPr="008A7004">
        <w:rPr>
          <w:rFonts w:cstheme="minorHAnsi"/>
        </w:rPr>
        <w:t>n relazione all'art. 117, comma  secondo, lettera e), della</w:t>
      </w:r>
      <w:r w:rsidR="008A7004">
        <w:rPr>
          <w:rFonts w:cstheme="minorHAnsi"/>
        </w:rPr>
        <w:t xml:space="preserve"> </w:t>
      </w:r>
      <w:r w:rsidR="008A7004" w:rsidRPr="008A7004">
        <w:rPr>
          <w:rFonts w:cstheme="minorHAnsi"/>
        </w:rPr>
        <w:t xml:space="preserve">Costituzione </w:t>
      </w:r>
      <w:r w:rsidR="009A2E15">
        <w:rPr>
          <w:rFonts w:cstheme="minorHAnsi"/>
        </w:rPr>
        <w:t xml:space="preserve">per </w:t>
      </w:r>
      <w:r w:rsidR="008A7004" w:rsidRPr="008A7004">
        <w:rPr>
          <w:rFonts w:cstheme="minorHAnsi"/>
        </w:rPr>
        <w:t>violazione della potest</w:t>
      </w:r>
      <w:r w:rsidR="008A7004">
        <w:rPr>
          <w:rFonts w:cstheme="minorHAnsi"/>
        </w:rPr>
        <w:t>à</w:t>
      </w:r>
      <w:r w:rsidR="008A7004" w:rsidRPr="008A7004">
        <w:rPr>
          <w:rFonts w:cstheme="minorHAnsi"/>
        </w:rPr>
        <w:t xml:space="preserve"> legislativa esclusiva dello</w:t>
      </w:r>
      <w:r w:rsidR="008A7004">
        <w:rPr>
          <w:rFonts w:cstheme="minorHAnsi"/>
        </w:rPr>
        <w:t xml:space="preserve"> </w:t>
      </w:r>
      <w:r w:rsidR="008A7004" w:rsidRPr="008A7004">
        <w:rPr>
          <w:rFonts w:cstheme="minorHAnsi"/>
        </w:rPr>
        <w:t>Stato nella materia della «tutela  della  concorrenza</w:t>
      </w:r>
      <w:r w:rsidR="00F60B37">
        <w:rPr>
          <w:rFonts w:cstheme="minorHAnsi"/>
        </w:rPr>
        <w:t>» e i</w:t>
      </w:r>
      <w:r w:rsidR="008A7004" w:rsidRPr="008A7004">
        <w:rPr>
          <w:rFonts w:cstheme="minorHAnsi"/>
        </w:rPr>
        <w:t>n relazione</w:t>
      </w:r>
      <w:r w:rsidR="00F60B37">
        <w:rPr>
          <w:rFonts w:cstheme="minorHAnsi"/>
        </w:rPr>
        <w:t xml:space="preserve"> </w:t>
      </w:r>
      <w:r w:rsidR="008A7004" w:rsidRPr="008A7004">
        <w:rPr>
          <w:rFonts w:cstheme="minorHAnsi"/>
        </w:rPr>
        <w:t xml:space="preserve">all'art. 117, comma  primo, </w:t>
      </w:r>
      <w:r w:rsidR="00F60B37">
        <w:rPr>
          <w:rFonts w:cstheme="minorHAnsi"/>
        </w:rPr>
        <w:t xml:space="preserve">della </w:t>
      </w:r>
      <w:r w:rsidR="008A7004" w:rsidRPr="008A7004">
        <w:rPr>
          <w:rFonts w:cstheme="minorHAnsi"/>
        </w:rPr>
        <w:t>Costituzione</w:t>
      </w:r>
      <w:r w:rsidR="00F60B37">
        <w:rPr>
          <w:rFonts w:cstheme="minorHAnsi"/>
        </w:rPr>
        <w:t xml:space="preserve"> per</w:t>
      </w:r>
      <w:r w:rsidR="008A7004" w:rsidRPr="008A7004">
        <w:rPr>
          <w:rFonts w:cstheme="minorHAnsi"/>
        </w:rPr>
        <w:t xml:space="preserve">  violazione  dei vincoli</w:t>
      </w:r>
      <w:r w:rsidR="00F60B37">
        <w:rPr>
          <w:rFonts w:cstheme="minorHAnsi"/>
        </w:rPr>
        <w:t xml:space="preserve"> </w:t>
      </w:r>
      <w:r w:rsidR="008A7004" w:rsidRPr="008A7004">
        <w:rPr>
          <w:rFonts w:cstheme="minorHAnsi"/>
        </w:rPr>
        <w:t>derivanti dall'ordinamento dell'Unione europea</w:t>
      </w:r>
      <w:r w:rsidR="00F60B37">
        <w:rPr>
          <w:rFonts w:cstheme="minorHAnsi"/>
        </w:rPr>
        <w:t>, dal momento che ««</w:t>
      </w:r>
      <w:r w:rsidR="00F60B37" w:rsidRPr="00F60B37">
        <w:rPr>
          <w:rFonts w:cstheme="minorHAnsi"/>
        </w:rPr>
        <w:t>le previsioni della</w:t>
      </w:r>
      <w:r w:rsidR="00F60B37">
        <w:rPr>
          <w:rFonts w:cstheme="minorHAnsi"/>
        </w:rPr>
        <w:t xml:space="preserve"> </w:t>
      </w:r>
      <w:r w:rsidR="00F60B37" w:rsidRPr="00F60B37">
        <w:rPr>
          <w:rFonts w:cstheme="minorHAnsi"/>
        </w:rPr>
        <w:t>legge  regionale</w:t>
      </w:r>
      <w:r w:rsidR="00F60B37">
        <w:rPr>
          <w:rFonts w:cstheme="minorHAnsi"/>
        </w:rPr>
        <w:t xml:space="preserve"> </w:t>
      </w:r>
      <w:r w:rsidR="00F60B37" w:rsidRPr="00F60B37">
        <w:rPr>
          <w:rFonts w:cstheme="minorHAnsi"/>
        </w:rPr>
        <w:t>vanno al di l</w:t>
      </w:r>
      <w:r w:rsidR="00F60B37">
        <w:rPr>
          <w:rFonts w:cstheme="minorHAnsi"/>
        </w:rPr>
        <w:t>à</w:t>
      </w:r>
      <w:r w:rsidR="00F60B37" w:rsidRPr="00F60B37">
        <w:rPr>
          <w:rFonts w:cstheme="minorHAnsi"/>
        </w:rPr>
        <w:t xml:space="preserve"> dell'equilibrio identificato dalla normativa statale</w:t>
      </w:r>
      <w:r w:rsidR="00F60B37">
        <w:rPr>
          <w:rFonts w:cstheme="minorHAnsi"/>
        </w:rPr>
        <w:t xml:space="preserve"> </w:t>
      </w:r>
      <w:r w:rsidR="00F60B37" w:rsidRPr="00F60B37">
        <w:rPr>
          <w:rFonts w:cstheme="minorHAnsi"/>
        </w:rPr>
        <w:t>al fine di contenere la portata dell'indennizzo nei limiti  stabiliti</w:t>
      </w:r>
      <w:r w:rsidR="00F60B37">
        <w:rPr>
          <w:rFonts w:cstheme="minorHAnsi"/>
        </w:rPr>
        <w:t xml:space="preserve"> </w:t>
      </w:r>
      <w:r w:rsidR="00F60B37" w:rsidRPr="00F60B37">
        <w:rPr>
          <w:rFonts w:cstheme="minorHAnsi"/>
        </w:rPr>
        <w:t>dalla normativa europea, per come interpretata dalla Commissione, e</w:t>
      </w:r>
      <w:r w:rsidR="00F60B37">
        <w:rPr>
          <w:rFonts w:cstheme="minorHAnsi"/>
        </w:rPr>
        <w:t xml:space="preserve"> </w:t>
      </w:r>
      <w:r w:rsidR="00F60B37" w:rsidRPr="00F60B37">
        <w:rPr>
          <w:rFonts w:cstheme="minorHAnsi"/>
        </w:rPr>
        <w:t>pertanto - lungi dal garantire al concessionario uscente un equo</w:t>
      </w:r>
      <w:r w:rsidR="00F60B37">
        <w:rPr>
          <w:rFonts w:cstheme="minorHAnsi"/>
        </w:rPr>
        <w:t xml:space="preserve"> </w:t>
      </w:r>
      <w:r w:rsidR="00F60B37" w:rsidRPr="00F60B37">
        <w:rPr>
          <w:rFonts w:cstheme="minorHAnsi"/>
        </w:rPr>
        <w:t>ristoro nei limiti dell'affidamento  tutelabile  -   finisca per</w:t>
      </w:r>
      <w:r w:rsidR="00F60B37">
        <w:rPr>
          <w:rFonts w:cstheme="minorHAnsi"/>
        </w:rPr>
        <w:t xml:space="preserve"> </w:t>
      </w:r>
      <w:r w:rsidR="00F60B37" w:rsidRPr="00F60B37">
        <w:rPr>
          <w:rFonts w:cstheme="minorHAnsi"/>
        </w:rPr>
        <w:t>accordare ad esso quel «vantaggio» vietato dall'art. 12, par. 2,</w:t>
      </w:r>
      <w:r w:rsidR="00F60B37">
        <w:rPr>
          <w:rFonts w:cstheme="minorHAnsi"/>
        </w:rPr>
        <w:t xml:space="preserve"> </w:t>
      </w:r>
      <w:r w:rsidR="00F60B37" w:rsidRPr="00F60B37">
        <w:rPr>
          <w:rFonts w:cstheme="minorHAnsi"/>
        </w:rPr>
        <w:t>della direttiva servizi e dalla norma nazionale di recepimento  (art.</w:t>
      </w:r>
      <w:r w:rsidR="00F60B37">
        <w:rPr>
          <w:rFonts w:cstheme="minorHAnsi"/>
        </w:rPr>
        <w:t xml:space="preserve"> </w:t>
      </w:r>
      <w:r w:rsidR="00F60B37" w:rsidRPr="00F60B37">
        <w:rPr>
          <w:rFonts w:cstheme="minorHAnsi"/>
        </w:rPr>
        <w:t>16, comma 4, del decreto legislativo 26 marzo 2010, n. 59)</w:t>
      </w:r>
      <w:r w:rsidR="00F60B37">
        <w:rPr>
          <w:rFonts w:cstheme="minorHAnsi"/>
        </w:rPr>
        <w:t>»»;</w:t>
      </w:r>
    </w:p>
    <w:p w14:paraId="5CD73DEE" w14:textId="0B1C753E" w:rsidR="00A21F99" w:rsidRDefault="00A21F99" w:rsidP="00A21F99">
      <w:pPr>
        <w:jc w:val="both"/>
        <w:rPr>
          <w:rFonts w:cstheme="minorHAnsi"/>
        </w:rPr>
      </w:pPr>
      <w:r>
        <w:rPr>
          <w:rFonts w:cstheme="minorHAnsi"/>
        </w:rPr>
        <w:t xml:space="preserve"> Considerato che la Corte costituzionale </w:t>
      </w:r>
      <w:r w:rsidRPr="00A21F99">
        <w:rPr>
          <w:rFonts w:cstheme="minorHAnsi"/>
        </w:rPr>
        <w:t xml:space="preserve">con l’ordinanza del 7 ottobre 2024 n.161/2024 nella causa C-653/24 </w:t>
      </w:r>
      <w:r w:rsidRPr="00A21F99">
        <w:rPr>
          <w:rFonts w:cstheme="minorHAnsi"/>
          <w:i/>
          <w:iCs/>
        </w:rPr>
        <w:t>Regione Emilia-Romagna</w:t>
      </w:r>
      <w:r w:rsidRPr="00A21F99">
        <w:rPr>
          <w:rFonts w:cstheme="minorHAnsi"/>
        </w:rPr>
        <w:t xml:space="preserve"> ha chiesto </w:t>
      </w:r>
      <w:r>
        <w:rPr>
          <w:rFonts w:cstheme="minorHAnsi"/>
        </w:rPr>
        <w:t xml:space="preserve">i seguenti </w:t>
      </w:r>
      <w:r w:rsidRPr="00A21F99">
        <w:rPr>
          <w:rFonts w:cstheme="minorHAnsi"/>
        </w:rPr>
        <w:t xml:space="preserve">chiarimenti alla Corte di giustizia Ue </w:t>
      </w:r>
      <w:r>
        <w:rPr>
          <w:rFonts w:cstheme="minorHAnsi"/>
        </w:rPr>
        <w:t xml:space="preserve">nell’ambito del giudizio n.4/2024 </w:t>
      </w:r>
      <w:r w:rsidR="001A6418">
        <w:rPr>
          <w:rFonts w:cstheme="minorHAnsi"/>
        </w:rPr>
        <w:t xml:space="preserve">promosso dalla Presidenza dei Consiglio dei Ministri ex art. 127 Cost. per porre </w:t>
      </w:r>
      <w:r w:rsidR="001A6418" w:rsidRPr="001A6418">
        <w:rPr>
          <w:rFonts w:cstheme="minorHAnsi"/>
        </w:rPr>
        <w:t>questioni di legittimità</w:t>
      </w:r>
      <w:r w:rsidR="001A6418">
        <w:rPr>
          <w:rFonts w:cstheme="minorHAnsi"/>
        </w:rPr>
        <w:t xml:space="preserve"> </w:t>
      </w:r>
      <w:r w:rsidR="001A6418" w:rsidRPr="001A6418">
        <w:rPr>
          <w:rFonts w:cstheme="minorHAnsi"/>
        </w:rPr>
        <w:t>costituzionale dell’art. 3 della legge reg</w:t>
      </w:r>
      <w:r w:rsidR="001A6418">
        <w:rPr>
          <w:rFonts w:cstheme="minorHAnsi"/>
        </w:rPr>
        <w:t>ione</w:t>
      </w:r>
      <w:r w:rsidR="001A6418" w:rsidRPr="001A6418">
        <w:rPr>
          <w:rFonts w:cstheme="minorHAnsi"/>
        </w:rPr>
        <w:t xml:space="preserve"> Emilia-Romagna n. 17 del 2023, secondo cui, «</w:t>
      </w:r>
      <w:r w:rsidR="001A6418">
        <w:rPr>
          <w:rFonts w:cstheme="minorHAnsi"/>
        </w:rPr>
        <w:t>q</w:t>
      </w:r>
      <w:r w:rsidR="001A6418" w:rsidRPr="001A6418">
        <w:rPr>
          <w:rFonts w:cstheme="minorHAnsi"/>
        </w:rPr>
        <w:t>ualora il</w:t>
      </w:r>
      <w:r w:rsidR="001A6418">
        <w:rPr>
          <w:rFonts w:cstheme="minorHAnsi"/>
        </w:rPr>
        <w:t xml:space="preserve"> </w:t>
      </w:r>
      <w:r w:rsidR="001A6418" w:rsidRPr="001A6418">
        <w:rPr>
          <w:rFonts w:cstheme="minorHAnsi"/>
        </w:rPr>
        <w:t>concessionario di derivazioni ad uso idroelettrico fino a 3000 kilowatt abbia ottenuto incentivi per la</w:t>
      </w:r>
      <w:r w:rsidR="001A6418">
        <w:rPr>
          <w:rFonts w:cstheme="minorHAnsi"/>
        </w:rPr>
        <w:t xml:space="preserve"> </w:t>
      </w:r>
      <w:r w:rsidR="001A6418" w:rsidRPr="001A6418">
        <w:rPr>
          <w:rFonts w:cstheme="minorHAnsi"/>
        </w:rPr>
        <w:t>produzione di energia elettrica connessi alla derivazione, la durata della concessione, previa istanza</w:t>
      </w:r>
      <w:r w:rsidR="001A6418">
        <w:rPr>
          <w:rFonts w:cstheme="minorHAnsi"/>
        </w:rPr>
        <w:t xml:space="preserve"> </w:t>
      </w:r>
      <w:r w:rsidR="001A6418" w:rsidRPr="001A6418">
        <w:rPr>
          <w:rFonts w:cstheme="minorHAnsi"/>
        </w:rPr>
        <w:t>presentata da parte del concessionario, è allineata al periodo incentivante di riconoscimento degli incentivi,</w:t>
      </w:r>
      <w:r w:rsidR="001A6418">
        <w:rPr>
          <w:rFonts w:cstheme="minorHAnsi"/>
        </w:rPr>
        <w:t xml:space="preserve"> </w:t>
      </w:r>
      <w:r w:rsidR="001A6418" w:rsidRPr="001A6418">
        <w:rPr>
          <w:rFonts w:cstheme="minorHAnsi"/>
        </w:rPr>
        <w:t>ferma restando la durata massima trentennale prevista all’articolo 21 del Regio Decreto 11 dicembre 1933,</w:t>
      </w:r>
      <w:r w:rsidR="001A6418">
        <w:rPr>
          <w:rFonts w:cstheme="minorHAnsi"/>
        </w:rPr>
        <w:t xml:space="preserve"> </w:t>
      </w:r>
      <w:r w:rsidR="001A6418" w:rsidRPr="001A6418">
        <w:rPr>
          <w:rFonts w:cstheme="minorHAnsi"/>
        </w:rPr>
        <w:t>n. 1775»</w:t>
      </w:r>
      <w:r w:rsidR="001A6418">
        <w:rPr>
          <w:rFonts w:cstheme="minorHAnsi"/>
        </w:rPr>
        <w:t>: «</w:t>
      </w:r>
      <w:r w:rsidRPr="00A21F99">
        <w:rPr>
          <w:rFonts w:cstheme="minorHAnsi"/>
        </w:rPr>
        <w:t>a) se l’art. 12, paragrafi 1 e 2, della direttiva 2006/123/CE debba essere interpretato nel senso della sua</w:t>
      </w:r>
      <w:r w:rsidR="001A6418">
        <w:rPr>
          <w:rFonts w:cstheme="minorHAnsi"/>
        </w:rPr>
        <w:t xml:space="preserve"> </w:t>
      </w:r>
      <w:r w:rsidRPr="00A21F99">
        <w:rPr>
          <w:rFonts w:cstheme="minorHAnsi"/>
        </w:rPr>
        <w:t>applicabilità anche a impianti che svolgono attività di mera produzione di energia elettrica, quali gli impianti</w:t>
      </w:r>
      <w:r w:rsidR="001A6418">
        <w:rPr>
          <w:rFonts w:cstheme="minorHAnsi"/>
        </w:rPr>
        <w:t xml:space="preserve"> </w:t>
      </w:r>
      <w:r w:rsidRPr="00A21F99">
        <w:rPr>
          <w:rFonts w:cstheme="minorHAnsi"/>
        </w:rPr>
        <w:t>di piccole derivazioni idroelettriche;</w:t>
      </w:r>
      <w:r w:rsidR="001A6418">
        <w:rPr>
          <w:rFonts w:cstheme="minorHAnsi"/>
        </w:rPr>
        <w:t xml:space="preserve"> </w:t>
      </w:r>
      <w:r w:rsidRPr="00A21F99">
        <w:rPr>
          <w:rFonts w:cstheme="minorHAnsi"/>
        </w:rPr>
        <w:t>b) in caso di risposta affermativa al primo quesito, se l’art. 12, paragrafi 1 e 2, della direttiva</w:t>
      </w:r>
      <w:r w:rsidR="001A6418">
        <w:rPr>
          <w:rFonts w:cstheme="minorHAnsi"/>
        </w:rPr>
        <w:t xml:space="preserve"> </w:t>
      </w:r>
      <w:r w:rsidRPr="00A21F99">
        <w:rPr>
          <w:rFonts w:cstheme="minorHAnsi"/>
        </w:rPr>
        <w:t>2006/123/CE debba essere interpretato nel senso che il riferimento al requisito della scarsità delle risorse</w:t>
      </w:r>
      <w:r w:rsidR="001A6418">
        <w:rPr>
          <w:rFonts w:cstheme="minorHAnsi"/>
        </w:rPr>
        <w:t xml:space="preserve"> </w:t>
      </w:r>
      <w:r w:rsidRPr="00A21F99">
        <w:rPr>
          <w:rFonts w:cstheme="minorHAnsi"/>
        </w:rPr>
        <w:t>osti a una disciplina di uno Stato membro che si avvalga, quale criterio generale e astratto per distinguere</w:t>
      </w:r>
      <w:r w:rsidR="001A6418">
        <w:rPr>
          <w:rFonts w:cstheme="minorHAnsi"/>
        </w:rPr>
        <w:t xml:space="preserve"> </w:t>
      </w:r>
      <w:r w:rsidRPr="00A21F99">
        <w:rPr>
          <w:rFonts w:cstheme="minorHAnsi"/>
        </w:rPr>
        <w:t>l’attitudine o meno degli impianti di derivazione a rendere scarsa la risorsa idroelettrica, della differenza fra</w:t>
      </w:r>
      <w:r w:rsidR="001A6418">
        <w:rPr>
          <w:rFonts w:cstheme="minorHAnsi"/>
        </w:rPr>
        <w:t xml:space="preserve"> </w:t>
      </w:r>
      <w:r w:rsidRPr="00A21F99">
        <w:rPr>
          <w:rFonts w:cstheme="minorHAnsi"/>
        </w:rPr>
        <w:t>grandi e piccoli impianti (che rispettivamente producono una forza motrice con potenza nominale media</w:t>
      </w:r>
      <w:r w:rsidR="001A6418">
        <w:rPr>
          <w:rFonts w:cstheme="minorHAnsi"/>
        </w:rPr>
        <w:t xml:space="preserve"> </w:t>
      </w:r>
      <w:r w:rsidRPr="00A21F99">
        <w:rPr>
          <w:rFonts w:cstheme="minorHAnsi"/>
        </w:rPr>
        <w:t>annua maggiore o, viceversa, pari o inferiore a 3000 kW);</w:t>
      </w:r>
      <w:r w:rsidR="001A6418">
        <w:rPr>
          <w:rFonts w:cstheme="minorHAnsi"/>
        </w:rPr>
        <w:t xml:space="preserve"> </w:t>
      </w:r>
      <w:r w:rsidRPr="00A21F99">
        <w:rPr>
          <w:rFonts w:cstheme="minorHAnsi"/>
        </w:rPr>
        <w:t>c) infine, in caso di risposta affermativa al primo e al secondo quesito, se l’art. 12, paragrafo 2, della</w:t>
      </w:r>
      <w:r w:rsidR="001A6418">
        <w:rPr>
          <w:rFonts w:cstheme="minorHAnsi"/>
        </w:rPr>
        <w:t xml:space="preserve"> </w:t>
      </w:r>
      <w:r w:rsidRPr="00A21F99">
        <w:rPr>
          <w:rFonts w:cstheme="minorHAnsi"/>
        </w:rPr>
        <w:t>direttiva 2006/123/CE debba essere interpretato nel senso che esso osti a una disciplina di uno Stato membro</w:t>
      </w:r>
      <w:r w:rsidR="001A6418">
        <w:rPr>
          <w:rFonts w:cstheme="minorHAnsi"/>
        </w:rPr>
        <w:t xml:space="preserve"> </w:t>
      </w:r>
      <w:r w:rsidRPr="00A21F99">
        <w:rPr>
          <w:rFonts w:cstheme="minorHAnsi"/>
        </w:rPr>
        <w:t>che preveda una proroga della durata della concessione, motivata dall’esigenza di consentire al</w:t>
      </w:r>
      <w:r w:rsidR="001A6418">
        <w:rPr>
          <w:rFonts w:cstheme="minorHAnsi"/>
        </w:rPr>
        <w:t xml:space="preserve"> </w:t>
      </w:r>
      <w:r w:rsidRPr="00A21F99">
        <w:rPr>
          <w:rFonts w:cstheme="minorHAnsi"/>
        </w:rPr>
        <w:t>concessionario l’utilizzo integrale degli incentivi ottenuti per la produzione di energia da fonti rinnovabili,</w:t>
      </w:r>
      <w:r w:rsidR="001A6418">
        <w:rPr>
          <w:rFonts w:cstheme="minorHAnsi"/>
        </w:rPr>
        <w:t xml:space="preserve"> </w:t>
      </w:r>
      <w:r w:rsidRPr="00A21F99">
        <w:rPr>
          <w:rFonts w:cstheme="minorHAnsi"/>
        </w:rPr>
        <w:t>fermo restando il rispetto della durata massima (trent’anni) che sin dall’inizio può essere assegnata a una</w:t>
      </w:r>
      <w:r w:rsidR="001A6418">
        <w:rPr>
          <w:rFonts w:cstheme="minorHAnsi"/>
        </w:rPr>
        <w:t xml:space="preserve"> </w:t>
      </w:r>
      <w:r w:rsidRPr="00A21F99">
        <w:rPr>
          <w:rFonts w:cstheme="minorHAnsi"/>
        </w:rPr>
        <w:t>concessione per piccola derivazione idroelettrica</w:t>
      </w:r>
      <w:r w:rsidR="001A6418">
        <w:rPr>
          <w:rFonts w:cstheme="minorHAnsi"/>
        </w:rPr>
        <w:t>»;</w:t>
      </w:r>
    </w:p>
    <w:p w14:paraId="5D34B723" w14:textId="286051A3" w:rsidR="00A21F99" w:rsidRDefault="009D3BD2" w:rsidP="0028536C">
      <w:pPr>
        <w:jc w:val="both"/>
        <w:rPr>
          <w:rFonts w:cstheme="minorHAnsi"/>
        </w:rPr>
      </w:pPr>
      <w:r>
        <w:rPr>
          <w:rFonts w:cstheme="minorHAnsi"/>
        </w:rPr>
        <w:t xml:space="preserve"> Considerato, inoltre, che la Corte costituzionale con l</w:t>
      </w:r>
      <w:r w:rsidR="009B36C0">
        <w:rPr>
          <w:rFonts w:cstheme="minorHAnsi"/>
        </w:rPr>
        <w:t xml:space="preserve">a citata </w:t>
      </w:r>
      <w:r>
        <w:rPr>
          <w:rFonts w:cstheme="minorHAnsi"/>
        </w:rPr>
        <w:t>ordinanza di rinvio pregiudiziale n. 161/2024</w:t>
      </w:r>
      <w:r w:rsidR="0028536C">
        <w:rPr>
          <w:rFonts w:cstheme="minorHAnsi"/>
        </w:rPr>
        <w:t xml:space="preserve"> nella causa C-653/24 </w:t>
      </w:r>
      <w:r w:rsidR="0028536C">
        <w:rPr>
          <w:rFonts w:cstheme="minorHAnsi"/>
          <w:i/>
          <w:iCs/>
        </w:rPr>
        <w:t xml:space="preserve">Regione Emilia-Romagna </w:t>
      </w:r>
      <w:r w:rsidR="0028536C">
        <w:rPr>
          <w:rFonts w:cstheme="minorHAnsi"/>
        </w:rPr>
        <w:t xml:space="preserve">pone alla Corte Ue la </w:t>
      </w:r>
      <w:r w:rsidR="009B36C0">
        <w:rPr>
          <w:rFonts w:cstheme="minorHAnsi"/>
        </w:rPr>
        <w:t>pr</w:t>
      </w:r>
      <w:r w:rsidR="0028536C">
        <w:rPr>
          <w:rFonts w:cstheme="minorHAnsi"/>
        </w:rPr>
        <w:t>oblematica dell’</w:t>
      </w:r>
      <w:r w:rsidR="009B36C0">
        <w:rPr>
          <w:rFonts w:cstheme="minorHAnsi"/>
        </w:rPr>
        <w:t xml:space="preserve">applicabilità al regime di proroga </w:t>
      </w:r>
      <w:r w:rsidR="0028536C">
        <w:rPr>
          <w:rFonts w:cstheme="minorHAnsi"/>
        </w:rPr>
        <w:t xml:space="preserve">disposta con legge regionale </w:t>
      </w:r>
      <w:r w:rsidR="009B36C0">
        <w:rPr>
          <w:rFonts w:cstheme="minorHAnsi"/>
        </w:rPr>
        <w:t xml:space="preserve">delle concessioni demaniali di imprese idroelettriche di piccole dimensioni </w:t>
      </w:r>
      <w:r w:rsidR="0028536C">
        <w:rPr>
          <w:rFonts w:cstheme="minorHAnsi"/>
        </w:rPr>
        <w:t xml:space="preserve">della direttiva Bolkestein in termini in parte coincidenti con i quesiti pregiudiziali sollevati dal Giudice di pace di Rimini con l’ordinanza del 26 giugno 2024 in causa C-464/24 </w:t>
      </w:r>
      <w:r w:rsidR="0028536C">
        <w:rPr>
          <w:rFonts w:cstheme="minorHAnsi"/>
          <w:i/>
          <w:iCs/>
        </w:rPr>
        <w:t>Balneari Rimini</w:t>
      </w:r>
      <w:r w:rsidR="0028536C">
        <w:rPr>
          <w:rFonts w:cstheme="minorHAnsi"/>
        </w:rPr>
        <w:t xml:space="preserve">, da un lato </w:t>
      </w:r>
      <w:r w:rsidR="00A21F99" w:rsidRPr="00A21F99">
        <w:rPr>
          <w:rFonts w:cstheme="minorHAnsi"/>
        </w:rPr>
        <w:t xml:space="preserve">sottolineando che </w:t>
      </w:r>
      <w:r w:rsidR="00A21F99" w:rsidRPr="006721D5">
        <w:rPr>
          <w:rFonts w:cstheme="minorHAnsi"/>
        </w:rPr>
        <w:t>«occorre altresì evidenziare che la mera cessione di beni o il prelievo di beni destinati all’uso proprio non sembrano rientrare fra le '‘prestazioni di servizi” (artt. 14 e 24 della direttiva 2006/112/CE)</w:t>
      </w:r>
      <w:r w:rsidR="00A21F99" w:rsidRPr="00A21F99">
        <w:rPr>
          <w:rFonts w:cstheme="minorHAnsi"/>
        </w:rPr>
        <w:t>»</w:t>
      </w:r>
      <w:r w:rsidR="0028536C">
        <w:rPr>
          <w:rFonts w:cstheme="minorHAnsi"/>
        </w:rPr>
        <w:t xml:space="preserve">, dall’altro richiamando i principi enunciati dalla sentenza AGCM della Corte di giustizia sulle proroghe automatiche legislative delle concessioni demaniali marittime per quanto il profilo della (non) scarsità della risorsa naturale ed evidenziando </w:t>
      </w:r>
      <w:r w:rsidR="006721D5">
        <w:rPr>
          <w:rFonts w:cstheme="minorHAnsi"/>
        </w:rPr>
        <w:t xml:space="preserve">al punto 8.1. della motivazione </w:t>
      </w:r>
      <w:r w:rsidR="0028536C">
        <w:rPr>
          <w:rFonts w:cstheme="minorHAnsi"/>
        </w:rPr>
        <w:t>che «</w:t>
      </w:r>
      <w:r w:rsidR="0028536C" w:rsidRPr="0028536C">
        <w:rPr>
          <w:rFonts w:cstheme="minorHAnsi"/>
        </w:rPr>
        <w:t>nella medesima sentenza la Corte di giustizia non ha escluso che sussista per gli Stati</w:t>
      </w:r>
      <w:r w:rsidR="0028536C">
        <w:rPr>
          <w:rFonts w:cstheme="minorHAnsi"/>
        </w:rPr>
        <w:t xml:space="preserve"> </w:t>
      </w:r>
      <w:r w:rsidR="0028536C" w:rsidRPr="0028536C">
        <w:rPr>
          <w:rFonts w:cstheme="minorHAnsi"/>
        </w:rPr>
        <w:t>membri «un certo margine di discrezionalità nella scelta dei criteri applicabili alla valutazione della scarsità</w:t>
      </w:r>
      <w:r w:rsidR="0028536C">
        <w:rPr>
          <w:rFonts w:cstheme="minorHAnsi"/>
        </w:rPr>
        <w:t xml:space="preserve"> </w:t>
      </w:r>
      <w:r w:rsidR="0028536C" w:rsidRPr="0028536C">
        <w:rPr>
          <w:rFonts w:cstheme="minorHAnsi"/>
        </w:rPr>
        <w:t>delle risorse naturali. Tale margine di discrezionalità può condurli a preferire una valutazione generale e</w:t>
      </w:r>
      <w:r w:rsidR="0028536C">
        <w:rPr>
          <w:rFonts w:cstheme="minorHAnsi"/>
        </w:rPr>
        <w:t xml:space="preserve"> </w:t>
      </w:r>
      <w:r w:rsidR="0028536C" w:rsidRPr="0028536C">
        <w:rPr>
          <w:rFonts w:cstheme="minorHAnsi"/>
        </w:rPr>
        <w:t>astratta, valida per tutto il territorio nazionale, ma anche, al contrario, a privilegiare un approccio caso per</w:t>
      </w:r>
      <w:r w:rsidR="0028536C">
        <w:rPr>
          <w:rFonts w:cstheme="minorHAnsi"/>
        </w:rPr>
        <w:t xml:space="preserve"> </w:t>
      </w:r>
      <w:r w:rsidR="0028536C" w:rsidRPr="0028536C">
        <w:rPr>
          <w:rFonts w:cstheme="minorHAnsi"/>
        </w:rPr>
        <w:t>caso» (punto 46)</w:t>
      </w:r>
      <w:r w:rsidR="0028536C">
        <w:rPr>
          <w:rFonts w:cstheme="minorHAnsi"/>
        </w:rPr>
        <w:t>»</w:t>
      </w:r>
      <w:r w:rsidR="006721D5">
        <w:rPr>
          <w:rFonts w:cstheme="minorHAnsi"/>
        </w:rPr>
        <w:t>;</w:t>
      </w:r>
    </w:p>
    <w:p w14:paraId="3DE6B663" w14:textId="71D1001E" w:rsidR="006721D5" w:rsidRDefault="006721D5" w:rsidP="00272152">
      <w:pPr>
        <w:jc w:val="both"/>
        <w:rPr>
          <w:rFonts w:cstheme="minorHAnsi"/>
        </w:rPr>
      </w:pPr>
      <w:r>
        <w:rPr>
          <w:rFonts w:cstheme="minorHAnsi"/>
        </w:rPr>
        <w:lastRenderedPageBreak/>
        <w:t xml:space="preserve"> </w:t>
      </w:r>
      <w:r w:rsidR="00272152">
        <w:rPr>
          <w:rFonts w:cstheme="minorHAnsi"/>
        </w:rPr>
        <w:t xml:space="preserve">Rilevato che </w:t>
      </w:r>
      <w:r w:rsidR="00272152" w:rsidRPr="00272152">
        <w:rPr>
          <w:rFonts w:cstheme="minorHAnsi"/>
        </w:rPr>
        <w:t>il Consiglio di Stato – VII Sezione con le sentenze del 16 dicembre 2024 nn.10131 e 10132</w:t>
      </w:r>
      <w:r w:rsidR="00272152">
        <w:rPr>
          <w:rFonts w:cstheme="minorHAnsi"/>
        </w:rPr>
        <w:t xml:space="preserve"> e del</w:t>
      </w:r>
      <w:r w:rsidR="003A4920">
        <w:rPr>
          <w:rFonts w:cstheme="minorHAnsi"/>
        </w:rPr>
        <w:t>l’11 febbraio 2025 nn. 1128 e 1129</w:t>
      </w:r>
      <w:r w:rsidR="00272152" w:rsidRPr="00272152">
        <w:rPr>
          <w:rFonts w:cstheme="minorHAnsi"/>
        </w:rPr>
        <w:t xml:space="preserve">, ha accolto gli appelli proposti dal Comune di Monopoli ed ha confermato la disapplicazione della proroga al 31.12.2033 già concessa a </w:t>
      </w:r>
      <w:r w:rsidR="003A4920">
        <w:rPr>
          <w:rFonts w:cstheme="minorHAnsi"/>
        </w:rPr>
        <w:t>c</w:t>
      </w:r>
      <w:r w:rsidR="00272152" w:rsidRPr="00272152">
        <w:rPr>
          <w:rFonts w:cstheme="minorHAnsi"/>
        </w:rPr>
        <w:t xml:space="preserve">oncessionari balneari con atti pubblicati all’albo pretorio dell’Ente locale ai sensi dell’art.37 </w:t>
      </w:r>
      <w:r w:rsidR="003A4920">
        <w:rPr>
          <w:rFonts w:cstheme="minorHAnsi"/>
        </w:rPr>
        <w:t xml:space="preserve">del </w:t>
      </w:r>
      <w:r w:rsidR="00272152" w:rsidRPr="00272152">
        <w:rPr>
          <w:rFonts w:cstheme="minorHAnsi"/>
        </w:rPr>
        <w:t>cod</w:t>
      </w:r>
      <w:r w:rsidR="003A4920">
        <w:rPr>
          <w:rFonts w:cstheme="minorHAnsi"/>
        </w:rPr>
        <w:t xml:space="preserve">ice della </w:t>
      </w:r>
      <w:r w:rsidR="00272152" w:rsidRPr="00272152">
        <w:rPr>
          <w:rFonts w:cstheme="minorHAnsi"/>
        </w:rPr>
        <w:t>nav</w:t>
      </w:r>
      <w:r w:rsidR="003A4920">
        <w:rPr>
          <w:rFonts w:cstheme="minorHAnsi"/>
        </w:rPr>
        <w:t>igazione</w:t>
      </w:r>
      <w:r w:rsidR="00272152" w:rsidRPr="00272152">
        <w:rPr>
          <w:rFonts w:cstheme="minorHAnsi"/>
        </w:rPr>
        <w:t xml:space="preserve">, norma definita «arcaica» dal </w:t>
      </w:r>
      <w:r w:rsidR="003A4920">
        <w:rPr>
          <w:rFonts w:cstheme="minorHAnsi"/>
        </w:rPr>
        <w:t xml:space="preserve">Supremo </w:t>
      </w:r>
      <w:r w:rsidR="00272152" w:rsidRPr="00272152">
        <w:rPr>
          <w:rFonts w:cstheme="minorHAnsi"/>
        </w:rPr>
        <w:t>Giudice amministrativo con conseguente disapplicazione in favore della immediata efficacia di procedure di gara come quelle introdotte nel nuovo testo dell’art.4 della legge 118/2022</w:t>
      </w:r>
      <w:r w:rsidR="003A4920">
        <w:rPr>
          <w:rFonts w:cstheme="minorHAnsi"/>
        </w:rPr>
        <w:t xml:space="preserve"> a prescindere dalla pubblicazione del decreto del Ministero delle Infrastrutture e dei Trasporti</w:t>
      </w:r>
      <w:r w:rsidR="00272152" w:rsidRPr="00272152">
        <w:rPr>
          <w:rFonts w:cstheme="minorHAnsi"/>
        </w:rPr>
        <w:t xml:space="preserve">, confermando la cessazione anticipata della durata al 31.12.2023 </w:t>
      </w:r>
      <w:r w:rsidR="003A4920">
        <w:rPr>
          <w:rFonts w:cstheme="minorHAnsi"/>
        </w:rPr>
        <w:t xml:space="preserve">disposta dall’Adunanza plenaria del Consiglio di Stato nelle sentenze nn. 17 e 18 del 2021 </w:t>
      </w:r>
      <w:r w:rsidR="00272152" w:rsidRPr="00272152">
        <w:rPr>
          <w:rFonts w:cstheme="minorHAnsi"/>
        </w:rPr>
        <w:t>e sostanzialmente disapplicando anche la proroga triennale fino al 30 settembre 2027 prevista dall’art.3 comma 1 della stessa legge n.118/2022</w:t>
      </w:r>
      <w:r w:rsidR="003A4920">
        <w:rPr>
          <w:rFonts w:cstheme="minorHAnsi"/>
        </w:rPr>
        <w:t xml:space="preserve">, </w:t>
      </w:r>
      <w:r w:rsidR="00424CF9">
        <w:rPr>
          <w:rFonts w:cstheme="minorHAnsi"/>
        </w:rPr>
        <w:t>che viene considerata mera «proroga tecnica» in attesa dell’espletamento da parte degli Enti concedenti delle procedure di gara;</w:t>
      </w:r>
    </w:p>
    <w:p w14:paraId="4F0D7FB2" w14:textId="32AFEB83" w:rsidR="00556783" w:rsidRDefault="00424CF9" w:rsidP="00272152">
      <w:pPr>
        <w:jc w:val="both"/>
        <w:rPr>
          <w:rFonts w:cstheme="minorHAnsi"/>
        </w:rPr>
      </w:pPr>
      <w:r>
        <w:rPr>
          <w:rFonts w:cstheme="minorHAnsi"/>
        </w:rPr>
        <w:t xml:space="preserve"> Considerato, tuttavia, che </w:t>
      </w:r>
      <w:r w:rsidRPr="00272152">
        <w:rPr>
          <w:rFonts w:cstheme="minorHAnsi"/>
        </w:rPr>
        <w:t xml:space="preserve">il Consiglio di Stato </w:t>
      </w:r>
      <w:r>
        <w:rPr>
          <w:rFonts w:cstheme="minorHAnsi"/>
        </w:rPr>
        <w:t>nel</w:t>
      </w:r>
      <w:r w:rsidRPr="00272152">
        <w:rPr>
          <w:rFonts w:cstheme="minorHAnsi"/>
        </w:rPr>
        <w:t xml:space="preserve">le </w:t>
      </w:r>
      <w:r>
        <w:rPr>
          <w:rFonts w:cstheme="minorHAnsi"/>
        </w:rPr>
        <w:t xml:space="preserve">citate </w:t>
      </w:r>
      <w:r w:rsidRPr="00272152">
        <w:rPr>
          <w:rFonts w:cstheme="minorHAnsi"/>
        </w:rPr>
        <w:t>sentenze nn.10131</w:t>
      </w:r>
      <w:r>
        <w:rPr>
          <w:rFonts w:cstheme="minorHAnsi"/>
        </w:rPr>
        <w:t xml:space="preserve"> e</w:t>
      </w:r>
      <w:r w:rsidRPr="00272152">
        <w:rPr>
          <w:rFonts w:cstheme="minorHAnsi"/>
        </w:rPr>
        <w:t xml:space="preserve"> 10132</w:t>
      </w:r>
      <w:r>
        <w:rPr>
          <w:rFonts w:cstheme="minorHAnsi"/>
        </w:rPr>
        <w:t xml:space="preserve">/2024 e nn. 1128 e 1129/2025 non fa alcun cenno alla pendenza </w:t>
      </w:r>
      <w:r>
        <w:rPr>
          <w:rFonts w:cstheme="minorHAnsi"/>
          <w:i/>
          <w:iCs/>
        </w:rPr>
        <w:t>in subiecta materia</w:t>
      </w:r>
      <w:r>
        <w:rPr>
          <w:rFonts w:cstheme="minorHAnsi"/>
        </w:rPr>
        <w:t xml:space="preserve"> delle due cause pregiudiziali proposte dalla Corte costituzionale con l’ordinanza n. 161/2024 nella causa C-653/24 </w:t>
      </w:r>
      <w:r>
        <w:rPr>
          <w:rFonts w:cstheme="minorHAnsi"/>
          <w:i/>
          <w:iCs/>
        </w:rPr>
        <w:t xml:space="preserve">Regione Emilia-Romagna </w:t>
      </w:r>
      <w:r>
        <w:rPr>
          <w:rFonts w:cstheme="minorHAnsi"/>
        </w:rPr>
        <w:t xml:space="preserve">e dal Giudice di pace di Rimini con l’ordinanza del 26 giugno 2024 in causa C-464/24 </w:t>
      </w:r>
      <w:r>
        <w:rPr>
          <w:rFonts w:cstheme="minorHAnsi"/>
          <w:i/>
          <w:iCs/>
        </w:rPr>
        <w:t>Balneari Rimini</w:t>
      </w:r>
      <w:r>
        <w:rPr>
          <w:rFonts w:cstheme="minorHAnsi"/>
        </w:rPr>
        <w:t>, il cui esito interpretativo da parte della Corte di giustizia Ue potrebbe portare ad escludere l’applicabilità alla proroga delle concessioni demaniali marittime per finalità turistiche e ricreative della direttiva 2006/123/CE e, in particolare ma non esclusivamente, di quelle concessioni balneari che sono iniziate prima del</w:t>
      </w:r>
      <w:r w:rsidR="00556783">
        <w:rPr>
          <w:rFonts w:cstheme="minorHAnsi"/>
        </w:rPr>
        <w:t xml:space="preserve"> 28 dicembre 2009 e che rientrano nel campo di applicazione del</w:t>
      </w:r>
      <w:r w:rsidR="003614D6">
        <w:rPr>
          <w:rFonts w:cstheme="minorHAnsi"/>
        </w:rPr>
        <w:t>l’</w:t>
      </w:r>
      <w:r w:rsidR="00556783">
        <w:rPr>
          <w:rFonts w:cstheme="minorHAnsi"/>
        </w:rPr>
        <w:t>art. 24 comma 3-septies del decreto-legge n. 113/2016 ancora in vigore e mai disapplicato dai giudici amministrativi nell’esercizio di un’attività giurisdizionale che, astrattamente, provoca ingerenza nel potere legislativo e in quello esecutivo;</w:t>
      </w:r>
    </w:p>
    <w:p w14:paraId="3439505D" w14:textId="674C5A57" w:rsidR="00424CF9" w:rsidRDefault="00556783" w:rsidP="00272152">
      <w:pPr>
        <w:jc w:val="both"/>
        <w:rPr>
          <w:rFonts w:cstheme="minorHAnsi"/>
        </w:rPr>
      </w:pPr>
      <w:r>
        <w:rPr>
          <w:rFonts w:cstheme="minorHAnsi"/>
        </w:rPr>
        <w:t xml:space="preserve"> Rilevato che pende davanti alla Suprema Corte di Cassazione a Sezioni unite giudizio </w:t>
      </w:r>
      <w:r w:rsidRPr="00556783">
        <w:rPr>
          <w:rFonts w:cstheme="minorHAnsi"/>
        </w:rPr>
        <w:t xml:space="preserve">n.425/2025 </w:t>
      </w:r>
      <w:r>
        <w:rPr>
          <w:rFonts w:cstheme="minorHAnsi"/>
        </w:rPr>
        <w:t>r.g.Cass.</w:t>
      </w:r>
      <w:r w:rsidRPr="00556783">
        <w:rPr>
          <w:rFonts w:cstheme="minorHAnsi"/>
        </w:rPr>
        <w:t xml:space="preserve">, ai sensi degli artt.111 commi 7 e 8 Cost., </w:t>
      </w:r>
      <w:r>
        <w:rPr>
          <w:rFonts w:cstheme="minorHAnsi"/>
        </w:rPr>
        <w:t xml:space="preserve">proposto da un concessionario balneare </w:t>
      </w:r>
      <w:r w:rsidRPr="00556783">
        <w:rPr>
          <w:rFonts w:cstheme="minorHAnsi"/>
        </w:rPr>
        <w:t>per l’annullamento della sentenza n.4479/2024 del Consiglio di Stato – VII Sezione, che ha confermato i principi enunciati dalla</w:t>
      </w:r>
      <w:r>
        <w:rPr>
          <w:rFonts w:cstheme="minorHAnsi"/>
        </w:rPr>
        <w:t xml:space="preserve"> più volte citata</w:t>
      </w:r>
      <w:r w:rsidRPr="00556783">
        <w:rPr>
          <w:rFonts w:cstheme="minorHAnsi"/>
        </w:rPr>
        <w:t xml:space="preserve"> sentenza n.18/2021 dell’Adunanza plenaria del C</w:t>
      </w:r>
      <w:r>
        <w:rPr>
          <w:rFonts w:cstheme="minorHAnsi"/>
        </w:rPr>
        <w:t>onsiglio di Stato</w:t>
      </w:r>
      <w:r w:rsidRPr="00556783">
        <w:rPr>
          <w:rFonts w:cstheme="minorHAnsi"/>
        </w:rPr>
        <w:t xml:space="preserve">, riformata dalla sentenza n.32559/2023 della Corte di </w:t>
      </w:r>
      <w:r>
        <w:rPr>
          <w:rFonts w:cstheme="minorHAnsi"/>
        </w:rPr>
        <w:t xml:space="preserve">legittimità </w:t>
      </w:r>
      <w:r w:rsidRPr="00556783">
        <w:rPr>
          <w:rFonts w:cstheme="minorHAnsi"/>
        </w:rPr>
        <w:t xml:space="preserve">per eccesso di potere giurisdizionale; </w:t>
      </w:r>
    </w:p>
    <w:p w14:paraId="3D70EE59" w14:textId="40CCF53D" w:rsidR="002120F5" w:rsidRDefault="00556783" w:rsidP="00556783">
      <w:pPr>
        <w:jc w:val="both"/>
        <w:rPr>
          <w:rFonts w:cstheme="minorHAnsi"/>
        </w:rPr>
      </w:pPr>
      <w:r>
        <w:rPr>
          <w:rFonts w:cstheme="minorHAnsi"/>
        </w:rPr>
        <w:t xml:space="preserve"> </w:t>
      </w:r>
      <w:r w:rsidR="002120F5">
        <w:rPr>
          <w:rFonts w:cstheme="minorHAnsi"/>
        </w:rPr>
        <w:t>Considerata la fissazione dell’udienza pubblica del 9 aprile 2025 davanti alla Corte costituzionale del giudizio n. 37/2024 di legittimità costituzionale in via principale promosso dal Presidente del Consiglio dei Ministri rispetto a</w:t>
      </w:r>
      <w:r w:rsidR="008A210D">
        <w:rPr>
          <w:rFonts w:cstheme="minorHAnsi"/>
        </w:rPr>
        <w:t>gli artt. 1, 2, commi terzo e quarto, e 3 della l</w:t>
      </w:r>
      <w:r w:rsidR="008A210D" w:rsidRPr="00D924A0">
        <w:rPr>
          <w:rFonts w:cstheme="minorHAnsi"/>
        </w:rPr>
        <w:t>egge regionale della Toscana n. 30</w:t>
      </w:r>
      <w:r w:rsidR="008A210D">
        <w:rPr>
          <w:rFonts w:cstheme="minorHAnsi"/>
        </w:rPr>
        <w:t>/2024</w:t>
      </w:r>
      <w:r w:rsidR="008A210D" w:rsidRPr="00D924A0">
        <w:rPr>
          <w:rFonts w:cstheme="minorHAnsi"/>
        </w:rPr>
        <w:t>,</w:t>
      </w:r>
      <w:r w:rsidR="008A210D">
        <w:rPr>
          <w:rFonts w:cstheme="minorHAnsi"/>
        </w:rPr>
        <w:t xml:space="preserve"> in cui tra l’altro </w:t>
      </w:r>
      <w:r w:rsidR="003614D6">
        <w:rPr>
          <w:rFonts w:cstheme="minorHAnsi"/>
        </w:rPr>
        <w:t>la principale disposizione legislativa regionale impugnata riguarda la determinazione dell’indennizzo secondo il valore aziendale</w:t>
      </w:r>
      <w:r w:rsidR="002070FD">
        <w:rPr>
          <w:rFonts w:cstheme="minorHAnsi"/>
        </w:rPr>
        <w:t xml:space="preserve">, che potrebbe non (più) rientrare nella competenza esclusiva del legislatore statale ove la Corte di giustizia nelle emanande decisioni sulle pregiudiziali della Corte costituzionale e del Giudice di pace di Rimini dovesse determinarsi nel senso di escludere (in tutto o in parte) la disciplina della durata delle concessioni demaniali marittime e/o delle piccole imprese idroelettriche dal campo di applicazione della direttiva Bolkestein; </w:t>
      </w:r>
    </w:p>
    <w:p w14:paraId="44E18BAB" w14:textId="6863B649" w:rsidR="00681EE0" w:rsidRPr="00681EE0" w:rsidRDefault="009068BD" w:rsidP="00681EE0">
      <w:pPr>
        <w:jc w:val="both"/>
        <w:rPr>
          <w:rFonts w:cstheme="minorHAnsi"/>
        </w:rPr>
      </w:pPr>
      <w:r>
        <w:rPr>
          <w:rFonts w:cstheme="minorHAnsi"/>
        </w:rPr>
        <w:t xml:space="preserve"> Evidenziato </w:t>
      </w:r>
      <w:r w:rsidR="00681EE0">
        <w:rPr>
          <w:rFonts w:cstheme="minorHAnsi"/>
        </w:rPr>
        <w:t xml:space="preserve">che </w:t>
      </w:r>
      <w:r>
        <w:rPr>
          <w:rFonts w:cstheme="minorHAnsi"/>
        </w:rPr>
        <w:t xml:space="preserve">il TAR </w:t>
      </w:r>
      <w:r w:rsidR="00681EE0">
        <w:rPr>
          <w:rFonts w:cstheme="minorHAnsi"/>
        </w:rPr>
        <w:t>Toscana con la sentenza del 10 marzo 2025 n.431</w:t>
      </w:r>
      <w:r w:rsidR="00681EE0" w:rsidRPr="00681EE0">
        <w:rPr>
          <w:lang w:eastAsia="it-IT"/>
        </w:rPr>
        <w:t xml:space="preserve">, accogliendo il ricorso </w:t>
      </w:r>
      <w:r w:rsidR="00681EE0">
        <w:rPr>
          <w:lang w:eastAsia="it-IT"/>
        </w:rPr>
        <w:t xml:space="preserve">presentato nel 2022 da un </w:t>
      </w:r>
      <w:r w:rsidR="00681EE0" w:rsidRPr="00681EE0">
        <w:rPr>
          <w:lang w:eastAsia="it-IT"/>
        </w:rPr>
        <w:t xml:space="preserve">concessionario di Forte dei Marmi, ha affermato che il termine del 31 dicembre 2023 </w:t>
      </w:r>
      <w:r w:rsidR="00681EE0">
        <w:rPr>
          <w:lang w:eastAsia="it-IT"/>
        </w:rPr>
        <w:t xml:space="preserve">di scadenza delle concessioni balneari </w:t>
      </w:r>
      <w:r w:rsidR="00681EE0" w:rsidRPr="00681EE0">
        <w:rPr>
          <w:lang w:eastAsia="it-IT"/>
        </w:rPr>
        <w:t xml:space="preserve">non ha alcun fondamento normativo e giurisprudenziale e non può essere imposto agli attuali concessionari, </w:t>
      </w:r>
      <w:r w:rsidR="00681EE0">
        <w:rPr>
          <w:lang w:eastAsia="it-IT"/>
        </w:rPr>
        <w:t xml:space="preserve">dal momento </w:t>
      </w:r>
      <w:r w:rsidR="00681EE0" w:rsidRPr="00681EE0">
        <w:rPr>
          <w:lang w:eastAsia="it-IT"/>
        </w:rPr>
        <w:t xml:space="preserve">che l’art. 1, commi 682 e 683 della legge 145/2018 prevede(va) </w:t>
      </w:r>
      <w:r w:rsidR="00681EE0">
        <w:rPr>
          <w:lang w:eastAsia="it-IT"/>
        </w:rPr>
        <w:t>la scadenza dei titoli concessori alla data de</w:t>
      </w:r>
      <w:r w:rsidR="00681EE0" w:rsidRPr="00681EE0">
        <w:rPr>
          <w:bdr w:val="none" w:sz="0" w:space="0" w:color="auto" w:frame="1"/>
          <w:lang w:eastAsia="it-IT"/>
        </w:rPr>
        <w:t>l 31 dicembre 2033</w:t>
      </w:r>
      <w:r w:rsidR="00681EE0" w:rsidRPr="00681EE0">
        <w:rPr>
          <w:lang w:eastAsia="it-IT"/>
        </w:rPr>
        <w:t xml:space="preserve"> e che detta disciplina resta valida per i titoli rilasciati prima del 28 dicembre 2009</w:t>
      </w:r>
      <w:r w:rsidR="00681EE0">
        <w:rPr>
          <w:lang w:eastAsia="it-IT"/>
        </w:rPr>
        <w:t>, richiamando sul punto la sentenza n.229/2022 del Consiglio di Stato</w:t>
      </w:r>
      <w:r w:rsidR="00681EE0" w:rsidRPr="00681EE0">
        <w:rPr>
          <w:lang w:eastAsia="it-IT"/>
        </w:rPr>
        <w:t>: «</w:t>
      </w:r>
      <w:r w:rsidR="00681EE0" w:rsidRPr="00681EE0">
        <w:rPr>
          <w:i/>
          <w:iCs/>
          <w:lang w:eastAsia="it-IT"/>
        </w:rPr>
        <w:t xml:space="preserve">2.5 È, peraltro evidente che proprio in ragione delle caratteristiche dell’istanza di ampliamento per accorpamento sussisteva un affidamento della ricorrente a vedersi riconoscere la scadenza sino alla durata della concessione principale (che è fissato al 31 dicembre 2037) o, quanto meno, al periodo di tempo in cui risulteranno scadute le concessioni accorpate, in applicazione del regime delle proroghe così come sopra citato. </w:t>
      </w:r>
      <w:r w:rsidR="00681EE0" w:rsidRPr="00681EE0">
        <w:rPr>
          <w:i/>
          <w:iCs/>
          <w:color w:val="000000"/>
          <w:lang w:eastAsia="it-IT"/>
        </w:rPr>
        <w:t xml:space="preserve">2.6 Anche qui va ricordato che precedenti pronunce hanno avuto modo di chiarire che, secondo gli insegnamenti della Corte di Giustizia, “…il diritto comunitario non impone ad un’amministrazione </w:t>
      </w:r>
      <w:r w:rsidR="00681EE0" w:rsidRPr="00681EE0">
        <w:rPr>
          <w:i/>
          <w:iCs/>
          <w:color w:val="000000"/>
          <w:lang w:eastAsia="it-IT"/>
        </w:rPr>
        <w:lastRenderedPageBreak/>
        <w:t>aggiudicatrice di uno Stato membro di intervenire, su domanda di un singolo, in rapporti giuridici in essere, instaurati a tempo indeterminato o con durata pluriennale, qualora tali rapporti siano stati posti in essere prima della scadenza del termine di trasposizione (28/12/2009) della direttiva 92/50” (Corte di Giustizia, Sez. VI , 24.9.1998, Togel, C-76/97; nello stesso senso v. Corte di Giustizia, 5.10.2000, Commissione/Francia, C-337/98 (Così Consiglio , Sez. VI13 gennaio 2022 n. 229)”</w:t>
      </w:r>
      <w:r w:rsidR="00681EE0" w:rsidRPr="00681EE0">
        <w:rPr>
          <w:lang w:eastAsia="it-IT"/>
        </w:rPr>
        <w:t>»</w:t>
      </w:r>
      <w:r w:rsidR="00735991">
        <w:rPr>
          <w:lang w:eastAsia="it-IT"/>
        </w:rPr>
        <w:t>;</w:t>
      </w:r>
    </w:p>
    <w:p w14:paraId="220214B8" w14:textId="7146D8BF" w:rsidR="00681EE0" w:rsidRPr="00735991" w:rsidRDefault="00735991" w:rsidP="00556783">
      <w:pPr>
        <w:jc w:val="both"/>
        <w:rPr>
          <w:rFonts w:cstheme="minorHAnsi"/>
        </w:rPr>
      </w:pPr>
      <w:r>
        <w:rPr>
          <w:rFonts w:cstheme="minorHAnsi"/>
        </w:rPr>
        <w:t xml:space="preserve"> Considerato che risultano iniziate </w:t>
      </w:r>
      <w:r w:rsidR="007B07AB">
        <w:rPr>
          <w:rFonts w:cstheme="minorHAnsi"/>
        </w:rPr>
        <w:t xml:space="preserve">da parte di alcuni concessionari balneari con titoli concessori iniziati prima del 28 dicembre 2009 </w:t>
      </w:r>
      <w:r>
        <w:rPr>
          <w:rFonts w:cstheme="minorHAnsi"/>
        </w:rPr>
        <w:t xml:space="preserve">le prime azioni giudiziarie di risarcimento dei danni nei confronti del Governo per responsabilità civile dei magistrati ai sensi dell’art.2 ss. della legge n.117/1988 a causa delle sentenze del Consiglio di Stato che hanno stabilito </w:t>
      </w:r>
      <w:r>
        <w:rPr>
          <w:rFonts w:cstheme="minorHAnsi"/>
          <w:i/>
          <w:iCs/>
        </w:rPr>
        <w:t xml:space="preserve">erga omnes </w:t>
      </w:r>
      <w:r>
        <w:rPr>
          <w:rFonts w:cstheme="minorHAnsi"/>
        </w:rPr>
        <w:t xml:space="preserve">per il 31 dicembre 2023 il termine di scadenza delle concessioni balneari, inducendo alcuni Comuni a bandire procedure selettive che hanno portato all’estromissione </w:t>
      </w:r>
      <w:r w:rsidR="000617E7">
        <w:rPr>
          <w:rFonts w:cstheme="minorHAnsi"/>
        </w:rPr>
        <w:t xml:space="preserve">senza indennizzo </w:t>
      </w:r>
      <w:r>
        <w:rPr>
          <w:rFonts w:cstheme="minorHAnsi"/>
        </w:rPr>
        <w:t>dei concessionari uscenti dalla legittima occupazione del demanio marittimo</w:t>
      </w:r>
      <w:r w:rsidR="000617E7">
        <w:rPr>
          <w:rFonts w:cstheme="minorHAnsi"/>
        </w:rPr>
        <w:t xml:space="preserve"> prevista fino al 31 dicembre 2033;</w:t>
      </w:r>
    </w:p>
    <w:p w14:paraId="321D36A5" w14:textId="6276A2D1" w:rsidR="002120F5" w:rsidRDefault="002070FD" w:rsidP="00556783">
      <w:pPr>
        <w:jc w:val="both"/>
        <w:rPr>
          <w:rFonts w:cstheme="minorHAnsi"/>
        </w:rPr>
      </w:pPr>
      <w:r>
        <w:rPr>
          <w:rFonts w:cstheme="minorHAnsi"/>
        </w:rPr>
        <w:t xml:space="preserve"> </w:t>
      </w:r>
      <w:r w:rsidR="00140790">
        <w:rPr>
          <w:rFonts w:cstheme="minorHAnsi"/>
        </w:rPr>
        <w:t xml:space="preserve">Considerata </w:t>
      </w:r>
      <w:r>
        <w:rPr>
          <w:rFonts w:cstheme="minorHAnsi"/>
        </w:rPr>
        <w:t xml:space="preserve">infine </w:t>
      </w:r>
      <w:r w:rsidR="00140790">
        <w:rPr>
          <w:rFonts w:cstheme="minorHAnsi"/>
        </w:rPr>
        <w:t>l’urgenza</w:t>
      </w:r>
      <w:r w:rsidR="002120F5">
        <w:rPr>
          <w:rFonts w:cstheme="minorHAnsi"/>
        </w:rPr>
        <w:t xml:space="preserve"> -</w:t>
      </w:r>
      <w:r w:rsidR="00026EC5">
        <w:rPr>
          <w:rFonts w:cstheme="minorHAnsi"/>
        </w:rPr>
        <w:t xml:space="preserve"> determinata dal complessissimo quadro regolatorio innanzi delineato che ha creato e crea grave confusione agli operatori economici del settore del turismo balneare </w:t>
      </w:r>
      <w:r w:rsidR="00C01729">
        <w:rPr>
          <w:rFonts w:cstheme="minorHAnsi"/>
        </w:rPr>
        <w:t xml:space="preserve">e alle pubbliche amministrazioni concedenti </w:t>
      </w:r>
      <w:r w:rsidR="00026EC5">
        <w:rPr>
          <w:rFonts w:cstheme="minorHAnsi"/>
        </w:rPr>
        <w:t>con un conflitto interpretativo immanente che soltanto la Corte di giustizia dell’Unione può definitivamente risolvere</w:t>
      </w:r>
      <w:r w:rsidR="00C01729">
        <w:rPr>
          <w:rFonts w:cstheme="minorHAnsi"/>
        </w:rPr>
        <w:t xml:space="preserve"> e dipanare</w:t>
      </w:r>
      <w:r w:rsidR="002120F5">
        <w:rPr>
          <w:rFonts w:cstheme="minorHAnsi"/>
        </w:rPr>
        <w:t xml:space="preserve"> -</w:t>
      </w:r>
      <w:r w:rsidR="00C01729">
        <w:rPr>
          <w:rFonts w:cstheme="minorHAnsi"/>
        </w:rPr>
        <w:t xml:space="preserve"> che il Governo fornisca l</w:t>
      </w:r>
      <w:r w:rsidR="00556783" w:rsidRPr="00C01729">
        <w:t>inee di indirizzo alle Regioni, alle Provincie autonome e ai Comuni in materia di durata e di regolamentazione delle concessioni demaniali marittime, lacuali e fluviali per finalità turistiche e ricreative, a seguito della disciplina introdotta dall’art</w:t>
      </w:r>
      <w:r w:rsidR="00C01729">
        <w:t>.</w:t>
      </w:r>
      <w:r w:rsidR="00556783" w:rsidRPr="00C01729">
        <w:t xml:space="preserve"> 1 del decreto</w:t>
      </w:r>
      <w:r w:rsidR="00C01729">
        <w:t>-</w:t>
      </w:r>
      <w:r w:rsidR="00556783" w:rsidRPr="00C01729">
        <w:t xml:space="preserve">legge n. 131, </w:t>
      </w:r>
      <w:r w:rsidR="00556783" w:rsidRPr="00C01729">
        <w:rPr>
          <w:rFonts w:cstheme="minorHAnsi"/>
        </w:rPr>
        <w:t>convertito dalla n.</w:t>
      </w:r>
      <w:r w:rsidR="002120F5">
        <w:rPr>
          <w:rFonts w:cstheme="minorHAnsi"/>
        </w:rPr>
        <w:t xml:space="preserve"> </w:t>
      </w:r>
      <w:r w:rsidR="00556783" w:rsidRPr="00C01729">
        <w:rPr>
          <w:rFonts w:cstheme="minorHAnsi"/>
        </w:rPr>
        <w:t>166</w:t>
      </w:r>
      <w:r w:rsidR="002120F5">
        <w:rPr>
          <w:rFonts w:cstheme="minorHAnsi"/>
        </w:rPr>
        <w:t>/2024</w:t>
      </w:r>
      <w:r w:rsidR="00341F83">
        <w:rPr>
          <w:rFonts w:cstheme="minorHAnsi"/>
        </w:rPr>
        <w:t xml:space="preserve"> e della pendenza delle </w:t>
      </w:r>
      <w:r w:rsidR="00341F83" w:rsidRPr="00341F83">
        <w:rPr>
          <w:rFonts w:cstheme="minorHAnsi"/>
        </w:rPr>
        <w:t>due cause pregiudiziali promosse l’una dalla Corte costituzionale con ordinanza del 7 ottobre 2024, n. 161 (ECLI:IT:COST:2024:161) C-653/24 “Regione Emilia-Romagna” e l’altra dal Giudice di pace di Rimini con ordinanza del 26 giugno 2024 C-464/24 “Balneari Rimini”, contenenti entrambi i provvedimenti interlocutori alla Corte Ue dei quesiti interpretativi sull’art. 12, paragrafi 1 e 2, della direttiva 2006/123/CE in merito alla durata rispettivamente delle concessioni demaniali di impianti di imprese di piccole derivazioni idroelettriche e delle concessioni demaniali marittime per finalità turistiche e ricreative</w:t>
      </w:r>
      <w:r w:rsidR="002120F5">
        <w:rPr>
          <w:rFonts w:cstheme="minorHAnsi"/>
        </w:rPr>
        <w:t>;</w:t>
      </w:r>
    </w:p>
    <w:p w14:paraId="5094528F" w14:textId="6351A02E" w:rsidR="00556783" w:rsidRDefault="002070FD" w:rsidP="00556783">
      <w:pPr>
        <w:jc w:val="both"/>
        <w:rPr>
          <w:rFonts w:cstheme="minorHAnsi"/>
        </w:rPr>
      </w:pPr>
      <w:r>
        <w:rPr>
          <w:rFonts w:cstheme="minorHAnsi"/>
          <w:b/>
          <w:bCs/>
        </w:rPr>
        <w:t xml:space="preserve"> </w:t>
      </w:r>
      <w:r>
        <w:rPr>
          <w:rFonts w:cstheme="minorHAnsi"/>
        </w:rPr>
        <w:t xml:space="preserve">Sulla proposta del Ministro delle Infrastrutture e dei Trasporti e del Ministro degli Affari </w:t>
      </w:r>
      <w:r w:rsidR="003F0C2E">
        <w:rPr>
          <w:rFonts w:cstheme="minorHAnsi"/>
        </w:rPr>
        <w:t xml:space="preserve">europei, </w:t>
      </w:r>
      <w:r w:rsidR="003F0C2E" w:rsidRPr="003F0C2E">
        <w:rPr>
          <w:rFonts w:cstheme="minorHAnsi"/>
        </w:rPr>
        <w:t>il Sud, le politiche di coesione e per il PNRR</w:t>
      </w:r>
    </w:p>
    <w:p w14:paraId="671D96B7" w14:textId="6EF04681" w:rsidR="003F0C2E" w:rsidRPr="00CD3616" w:rsidRDefault="003F0C2E" w:rsidP="003F0C2E">
      <w:r w:rsidRPr="00CD3616">
        <w:t xml:space="preserve">Delibera: </w:t>
      </w:r>
    </w:p>
    <w:p w14:paraId="7CF53C77" w14:textId="252D5F30" w:rsidR="003F0C2E" w:rsidRDefault="002F4D61" w:rsidP="00556783">
      <w:pPr>
        <w:jc w:val="both"/>
        <w:rPr>
          <w:rFonts w:cstheme="minorHAnsi"/>
          <w:b/>
          <w:bCs/>
        </w:rPr>
      </w:pPr>
      <w:r>
        <w:rPr>
          <w:rFonts w:cstheme="minorHAnsi"/>
          <w:b/>
          <w:bCs/>
        </w:rPr>
        <w:t>Art. 1</w:t>
      </w:r>
    </w:p>
    <w:p w14:paraId="65300F04" w14:textId="63CDA991" w:rsidR="00556783" w:rsidRPr="00341F83" w:rsidRDefault="00361DC1" w:rsidP="00556783">
      <w:pPr>
        <w:jc w:val="both"/>
        <w:rPr>
          <w:rFonts w:cstheme="minorHAnsi"/>
          <w:b/>
          <w:bCs/>
        </w:rPr>
      </w:pPr>
      <w:r>
        <w:rPr>
          <w:b/>
          <w:bCs/>
        </w:rPr>
        <w:t>Le</w:t>
      </w:r>
      <w:r w:rsidR="002F4D61">
        <w:rPr>
          <w:b/>
          <w:bCs/>
        </w:rPr>
        <w:t xml:space="preserve"> Regioni, le Provincie autonome e i Comuni </w:t>
      </w:r>
      <w:r>
        <w:rPr>
          <w:b/>
          <w:bCs/>
        </w:rPr>
        <w:t xml:space="preserve">concedenti dovranno considerare come proroga automatica fino al 30 settembre 2027 la durata delle concessioni demaniali marittime, lacuali e fluviali per finalità turistiche e ricreative prevista dall’articolo 3, comma 1, della legge 5 agosto 2022, n. 118, nel testo modificato </w:t>
      </w:r>
      <w:r w:rsidR="002F4D61">
        <w:rPr>
          <w:b/>
          <w:bCs/>
        </w:rPr>
        <w:t xml:space="preserve">dall’articolo 1 del decreto legge 14 settembre 2024, n. 131, recante </w:t>
      </w:r>
      <w:r w:rsidR="002F4D61">
        <w:rPr>
          <w:rFonts w:cstheme="minorHAnsi"/>
          <w:b/>
          <w:bCs/>
        </w:rPr>
        <w:t>«</w:t>
      </w:r>
      <w:r w:rsidR="002F4D61" w:rsidRPr="00A7004C">
        <w:rPr>
          <w:rFonts w:cstheme="minorHAnsi"/>
          <w:b/>
          <w:bCs/>
        </w:rPr>
        <w:t>Disposizioni urgenti in materia di concessioni demaniali marittime, lacuali e fluviali per finalità turistico-ricreative e sportive - Procedura di infrazione n. 2020/4118</w:t>
      </w:r>
      <w:r w:rsidR="002F4D61">
        <w:rPr>
          <w:rFonts w:cstheme="minorHAnsi"/>
          <w:b/>
          <w:bCs/>
        </w:rPr>
        <w:t>», convertito con modificazioni dalla legge 14 novembre 2024, n.166</w:t>
      </w:r>
      <w:r>
        <w:rPr>
          <w:rFonts w:cstheme="minorHAnsi"/>
          <w:b/>
          <w:bCs/>
        </w:rPr>
        <w:t>, potendo ricorrere alle procedure di evidenza pubblica ai sensi dell</w:t>
      </w:r>
      <w:r w:rsidR="007B07AB">
        <w:rPr>
          <w:rFonts w:cstheme="minorHAnsi"/>
          <w:b/>
          <w:bCs/>
        </w:rPr>
        <w:t xml:space="preserve">’articolo 4 della </w:t>
      </w:r>
      <w:r w:rsidR="00A74B38">
        <w:rPr>
          <w:rFonts w:cstheme="minorHAnsi"/>
          <w:b/>
          <w:bCs/>
        </w:rPr>
        <w:t xml:space="preserve">citata </w:t>
      </w:r>
      <w:r w:rsidR="007B07AB">
        <w:rPr>
          <w:rFonts w:cstheme="minorHAnsi"/>
          <w:b/>
          <w:bCs/>
        </w:rPr>
        <w:t xml:space="preserve">legge n.118/2022 </w:t>
      </w:r>
      <w:r>
        <w:rPr>
          <w:rFonts w:cstheme="minorHAnsi"/>
          <w:b/>
          <w:bCs/>
        </w:rPr>
        <w:t>per l’assegnazione di nuove concessioni demaniali mar</w:t>
      </w:r>
      <w:r w:rsidR="007B07AB">
        <w:rPr>
          <w:rFonts w:cstheme="minorHAnsi"/>
          <w:b/>
          <w:bCs/>
        </w:rPr>
        <w:t>ittime soltanto quando gli attuali titolari abbiano titoli concessori iniziati dopo il 28 dicembre 2009 o la concessione sia revocata o decaduta</w:t>
      </w:r>
      <w:r w:rsidR="00A74B38">
        <w:rPr>
          <w:rFonts w:cstheme="minorHAnsi"/>
          <w:b/>
          <w:bCs/>
        </w:rPr>
        <w:t xml:space="preserve"> o si tratta di spiaggia libera</w:t>
      </w:r>
      <w:r w:rsidR="007B07AB">
        <w:rPr>
          <w:rFonts w:cstheme="minorHAnsi"/>
          <w:b/>
          <w:bCs/>
        </w:rPr>
        <w:t xml:space="preserve">, attendendo in ogni caso </w:t>
      </w:r>
      <w:r w:rsidR="00556783">
        <w:rPr>
          <w:rFonts w:cstheme="minorHAnsi"/>
          <w:b/>
          <w:bCs/>
        </w:rPr>
        <w:t xml:space="preserve">la pubblicazione delle due decisioni della Corte di giustizia dell’Unione europea sulle </w:t>
      </w:r>
      <w:r w:rsidR="00556783" w:rsidRPr="00341F83">
        <w:rPr>
          <w:rFonts w:cstheme="minorHAnsi"/>
          <w:b/>
          <w:bCs/>
        </w:rPr>
        <w:t xml:space="preserve">due cause pregiudiziali promosse l’una dalla Corte costituzionale con ordinanza del 7 ottobre 2024, n. 161 (ECLI:IT:COST:2024:161) C-653/24 “Regione Emilia-Romagna” e l’altra dal Giudice di pace di Rimini con ordinanza del 26 giugno 2024 C-464/24 “Balneari Rimini”, contenenti entrambi i provvedimenti interlocutori alla Corte Ue dei quesiti interpretativi sull’art. 12, paragrafi 1 e 2, della direttiva 2006/123/CE del Parlamento europeo e del Consiglio del 12 dicembre 2006, relativa ai servizi nel mercato interno (c.d. direttiva “Bolkestein”) in merito alla durata rispettivamente delle concessioni demaniali di </w:t>
      </w:r>
      <w:r w:rsidR="00556783" w:rsidRPr="00341F83">
        <w:rPr>
          <w:rFonts w:cstheme="minorHAnsi"/>
          <w:b/>
          <w:bCs/>
        </w:rPr>
        <w:lastRenderedPageBreak/>
        <w:t>impianti di imprese di piccole derivazioni idroelettriche e delle concessioni demaniali marittime per finalità turistiche e ricreative.</w:t>
      </w:r>
    </w:p>
    <w:sectPr w:rsidR="00556783" w:rsidRPr="00341F8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802C5"/>
    <w:multiLevelType w:val="hybridMultilevel"/>
    <w:tmpl w:val="7628575C"/>
    <w:lvl w:ilvl="0" w:tplc="6C8A4766">
      <w:start w:val="1"/>
      <w:numFmt w:val="decimal"/>
      <w:lvlText w:val="%1."/>
      <w:lvlJc w:val="left"/>
      <w:pPr>
        <w:ind w:left="644" w:hanging="360"/>
      </w:pPr>
      <w:rPr>
        <w:rFonts w:eastAsia="Times New Roman" w:hint="default"/>
        <w:b/>
        <w:color w:val="00000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73694157"/>
    <w:multiLevelType w:val="hybridMultilevel"/>
    <w:tmpl w:val="B4B4EFB2"/>
    <w:lvl w:ilvl="0" w:tplc="285E015E">
      <w:start w:val="1"/>
      <w:numFmt w:val="decimal"/>
      <w:lvlText w:val="%1."/>
      <w:lvlJc w:val="left"/>
      <w:pPr>
        <w:ind w:left="720" w:hanging="360"/>
      </w:pPr>
      <w:rPr>
        <w:rFonts w:hint="default"/>
        <w:b/>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8897312">
    <w:abstractNumId w:val="1"/>
  </w:num>
  <w:num w:numId="2" w16cid:durableId="1005520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16"/>
    <w:rsid w:val="00005BFB"/>
    <w:rsid w:val="00016B9F"/>
    <w:rsid w:val="00026EC5"/>
    <w:rsid w:val="00037D8B"/>
    <w:rsid w:val="00043992"/>
    <w:rsid w:val="00043B0F"/>
    <w:rsid w:val="00044D9C"/>
    <w:rsid w:val="00050BE8"/>
    <w:rsid w:val="000617E7"/>
    <w:rsid w:val="000911FA"/>
    <w:rsid w:val="00092B8A"/>
    <w:rsid w:val="0009501F"/>
    <w:rsid w:val="000A2C62"/>
    <w:rsid w:val="000D5107"/>
    <w:rsid w:val="000D713D"/>
    <w:rsid w:val="000E25C3"/>
    <w:rsid w:val="001112D0"/>
    <w:rsid w:val="00111D4A"/>
    <w:rsid w:val="00140652"/>
    <w:rsid w:val="00140790"/>
    <w:rsid w:val="00196FA0"/>
    <w:rsid w:val="001A5828"/>
    <w:rsid w:val="001A6418"/>
    <w:rsid w:val="001E4116"/>
    <w:rsid w:val="001F2A5B"/>
    <w:rsid w:val="002070FD"/>
    <w:rsid w:val="002112F2"/>
    <w:rsid w:val="002120F5"/>
    <w:rsid w:val="00220909"/>
    <w:rsid w:val="0023500A"/>
    <w:rsid w:val="00272152"/>
    <w:rsid w:val="00281266"/>
    <w:rsid w:val="00281B65"/>
    <w:rsid w:val="0028536C"/>
    <w:rsid w:val="00287EB6"/>
    <w:rsid w:val="002919B3"/>
    <w:rsid w:val="00292273"/>
    <w:rsid w:val="002F0D76"/>
    <w:rsid w:val="002F1C69"/>
    <w:rsid w:val="002F4D61"/>
    <w:rsid w:val="00311604"/>
    <w:rsid w:val="00340CF0"/>
    <w:rsid w:val="00341F83"/>
    <w:rsid w:val="00347AF4"/>
    <w:rsid w:val="003614D6"/>
    <w:rsid w:val="00361DC1"/>
    <w:rsid w:val="0036349C"/>
    <w:rsid w:val="00374077"/>
    <w:rsid w:val="003820C5"/>
    <w:rsid w:val="003A1C96"/>
    <w:rsid w:val="003A4920"/>
    <w:rsid w:val="003C6F5A"/>
    <w:rsid w:val="003C7645"/>
    <w:rsid w:val="003F0C2E"/>
    <w:rsid w:val="00402067"/>
    <w:rsid w:val="00424CF9"/>
    <w:rsid w:val="004360B3"/>
    <w:rsid w:val="00444B74"/>
    <w:rsid w:val="0045086A"/>
    <w:rsid w:val="0045739D"/>
    <w:rsid w:val="004654B1"/>
    <w:rsid w:val="004664E5"/>
    <w:rsid w:val="0047147C"/>
    <w:rsid w:val="00485582"/>
    <w:rsid w:val="00497AE4"/>
    <w:rsid w:val="004B0998"/>
    <w:rsid w:val="004B6010"/>
    <w:rsid w:val="004F5D90"/>
    <w:rsid w:val="00507792"/>
    <w:rsid w:val="005344B9"/>
    <w:rsid w:val="00552031"/>
    <w:rsid w:val="00556783"/>
    <w:rsid w:val="005A0D92"/>
    <w:rsid w:val="005A126C"/>
    <w:rsid w:val="005B3146"/>
    <w:rsid w:val="005D63D3"/>
    <w:rsid w:val="005F521F"/>
    <w:rsid w:val="006109EE"/>
    <w:rsid w:val="00614E0E"/>
    <w:rsid w:val="00651847"/>
    <w:rsid w:val="00652867"/>
    <w:rsid w:val="006721D5"/>
    <w:rsid w:val="00681EE0"/>
    <w:rsid w:val="006D0600"/>
    <w:rsid w:val="006D219E"/>
    <w:rsid w:val="006D34B0"/>
    <w:rsid w:val="00702153"/>
    <w:rsid w:val="007241E8"/>
    <w:rsid w:val="00735991"/>
    <w:rsid w:val="00742C04"/>
    <w:rsid w:val="00752F36"/>
    <w:rsid w:val="00756B8D"/>
    <w:rsid w:val="007A1A98"/>
    <w:rsid w:val="007B07AB"/>
    <w:rsid w:val="007E755D"/>
    <w:rsid w:val="007E7741"/>
    <w:rsid w:val="00837192"/>
    <w:rsid w:val="00863B08"/>
    <w:rsid w:val="00865C0D"/>
    <w:rsid w:val="00880203"/>
    <w:rsid w:val="00884B8B"/>
    <w:rsid w:val="00894C68"/>
    <w:rsid w:val="008A210D"/>
    <w:rsid w:val="008A7004"/>
    <w:rsid w:val="009017AF"/>
    <w:rsid w:val="009068BD"/>
    <w:rsid w:val="00914EF4"/>
    <w:rsid w:val="0093498F"/>
    <w:rsid w:val="009903D4"/>
    <w:rsid w:val="009A2E15"/>
    <w:rsid w:val="009B36C0"/>
    <w:rsid w:val="009D3BD2"/>
    <w:rsid w:val="009D5EA3"/>
    <w:rsid w:val="009E289B"/>
    <w:rsid w:val="009F7208"/>
    <w:rsid w:val="00A20462"/>
    <w:rsid w:val="00A21F99"/>
    <w:rsid w:val="00A338EC"/>
    <w:rsid w:val="00A510EB"/>
    <w:rsid w:val="00A52265"/>
    <w:rsid w:val="00A7004C"/>
    <w:rsid w:val="00A74B38"/>
    <w:rsid w:val="00A879BA"/>
    <w:rsid w:val="00AB43E9"/>
    <w:rsid w:val="00B14F71"/>
    <w:rsid w:val="00B42C59"/>
    <w:rsid w:val="00B75F07"/>
    <w:rsid w:val="00B7648D"/>
    <w:rsid w:val="00B90628"/>
    <w:rsid w:val="00B91D78"/>
    <w:rsid w:val="00B91F59"/>
    <w:rsid w:val="00B94C7D"/>
    <w:rsid w:val="00C01729"/>
    <w:rsid w:val="00C233A7"/>
    <w:rsid w:val="00CB316B"/>
    <w:rsid w:val="00CC3DBF"/>
    <w:rsid w:val="00CD3616"/>
    <w:rsid w:val="00D41A4B"/>
    <w:rsid w:val="00D835E9"/>
    <w:rsid w:val="00D85A76"/>
    <w:rsid w:val="00D924A0"/>
    <w:rsid w:val="00DA3120"/>
    <w:rsid w:val="00DA7B64"/>
    <w:rsid w:val="00DC7EDE"/>
    <w:rsid w:val="00E324D8"/>
    <w:rsid w:val="00E3283D"/>
    <w:rsid w:val="00E50430"/>
    <w:rsid w:val="00E54E0A"/>
    <w:rsid w:val="00E74501"/>
    <w:rsid w:val="00EA03C6"/>
    <w:rsid w:val="00EC5A20"/>
    <w:rsid w:val="00ED6F0F"/>
    <w:rsid w:val="00EF4F76"/>
    <w:rsid w:val="00F07746"/>
    <w:rsid w:val="00F16BCD"/>
    <w:rsid w:val="00F2016E"/>
    <w:rsid w:val="00F60B37"/>
    <w:rsid w:val="00F909DB"/>
    <w:rsid w:val="00F94AAA"/>
    <w:rsid w:val="00FB5072"/>
    <w:rsid w:val="00FE1E87"/>
    <w:rsid w:val="00FE5B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EFF1"/>
  <w15:chartTrackingRefBased/>
  <w15:docId w15:val="{CB79CAB0-E5A2-43AF-8AF2-E7DE3989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D36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D36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unhideWhenUsed/>
    <w:qFormat/>
    <w:rsid w:val="00CD361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D361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D361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D361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D361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D361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D361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D3616"/>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D3616"/>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rsid w:val="00CD3616"/>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D3616"/>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D3616"/>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D361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D361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D361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D3616"/>
    <w:rPr>
      <w:rFonts w:eastAsiaTheme="majorEastAsia" w:cstheme="majorBidi"/>
      <w:color w:val="272727" w:themeColor="text1" w:themeTint="D8"/>
    </w:rPr>
  </w:style>
  <w:style w:type="paragraph" w:styleId="Titolo">
    <w:name w:val="Title"/>
    <w:basedOn w:val="Normale"/>
    <w:next w:val="Normale"/>
    <w:link w:val="TitoloCarattere"/>
    <w:uiPriority w:val="10"/>
    <w:qFormat/>
    <w:rsid w:val="00CD36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D361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D361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D361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D361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D3616"/>
    <w:rPr>
      <w:i/>
      <w:iCs/>
      <w:color w:val="404040" w:themeColor="text1" w:themeTint="BF"/>
    </w:rPr>
  </w:style>
  <w:style w:type="paragraph" w:styleId="Paragrafoelenco">
    <w:name w:val="List Paragraph"/>
    <w:basedOn w:val="Normale"/>
    <w:uiPriority w:val="34"/>
    <w:qFormat/>
    <w:rsid w:val="00CD3616"/>
    <w:pPr>
      <w:ind w:left="720"/>
      <w:contextualSpacing/>
    </w:pPr>
  </w:style>
  <w:style w:type="character" w:styleId="Enfasiintensa">
    <w:name w:val="Intense Emphasis"/>
    <w:basedOn w:val="Carpredefinitoparagrafo"/>
    <w:uiPriority w:val="21"/>
    <w:qFormat/>
    <w:rsid w:val="00CD3616"/>
    <w:rPr>
      <w:i/>
      <w:iCs/>
      <w:color w:val="2F5496" w:themeColor="accent1" w:themeShade="BF"/>
    </w:rPr>
  </w:style>
  <w:style w:type="paragraph" w:styleId="Citazioneintensa">
    <w:name w:val="Intense Quote"/>
    <w:basedOn w:val="Normale"/>
    <w:next w:val="Normale"/>
    <w:link w:val="CitazioneintensaCarattere"/>
    <w:uiPriority w:val="30"/>
    <w:qFormat/>
    <w:rsid w:val="00CD3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D3616"/>
    <w:rPr>
      <w:i/>
      <w:iCs/>
      <w:color w:val="2F5496" w:themeColor="accent1" w:themeShade="BF"/>
    </w:rPr>
  </w:style>
  <w:style w:type="character" w:styleId="Riferimentointenso">
    <w:name w:val="Intense Reference"/>
    <w:basedOn w:val="Carpredefinitoparagrafo"/>
    <w:uiPriority w:val="32"/>
    <w:qFormat/>
    <w:rsid w:val="00CD3616"/>
    <w:rPr>
      <w:b/>
      <w:bCs/>
      <w:smallCaps/>
      <w:color w:val="2F5496" w:themeColor="accent1" w:themeShade="BF"/>
      <w:spacing w:val="5"/>
    </w:rPr>
  </w:style>
  <w:style w:type="paragraph" w:styleId="PreformattatoHTML">
    <w:name w:val="HTML Preformatted"/>
    <w:basedOn w:val="Normale"/>
    <w:link w:val="PreformattatoHTMLCarattere"/>
    <w:uiPriority w:val="99"/>
    <w:semiHidden/>
    <w:unhideWhenUsed/>
    <w:rsid w:val="002112F2"/>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2112F2"/>
    <w:rPr>
      <w:rFonts w:ascii="Consolas" w:hAnsi="Consolas"/>
      <w:sz w:val="20"/>
      <w:szCs w:val="20"/>
    </w:rPr>
  </w:style>
  <w:style w:type="paragraph" w:styleId="NormaleWeb">
    <w:name w:val="Normal (Web)"/>
    <w:basedOn w:val="Normale"/>
    <w:uiPriority w:val="99"/>
    <w:semiHidden/>
    <w:unhideWhenUsed/>
    <w:rsid w:val="005D63D3"/>
    <w:rPr>
      <w:rFonts w:ascii="Times New Roman" w:hAnsi="Times New Roman" w:cs="Times New Roman"/>
      <w:sz w:val="24"/>
      <w:szCs w:val="24"/>
    </w:rPr>
  </w:style>
  <w:style w:type="character" w:styleId="Collegamentoipertestuale">
    <w:name w:val="Hyperlink"/>
    <w:basedOn w:val="Carpredefinitoparagrafo"/>
    <w:uiPriority w:val="99"/>
    <w:unhideWhenUsed/>
    <w:rsid w:val="005D63D3"/>
    <w:rPr>
      <w:color w:val="0563C1" w:themeColor="hyperlink"/>
      <w:u w:val="single"/>
    </w:rPr>
  </w:style>
  <w:style w:type="character" w:styleId="Menzionenonrisolta">
    <w:name w:val="Unresolved Mention"/>
    <w:basedOn w:val="Carpredefinitoparagrafo"/>
    <w:uiPriority w:val="99"/>
    <w:semiHidden/>
    <w:unhideWhenUsed/>
    <w:rsid w:val="005D6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5957">
      <w:bodyDiv w:val="1"/>
      <w:marLeft w:val="0"/>
      <w:marRight w:val="0"/>
      <w:marTop w:val="0"/>
      <w:marBottom w:val="0"/>
      <w:divBdr>
        <w:top w:val="none" w:sz="0" w:space="0" w:color="auto"/>
        <w:left w:val="none" w:sz="0" w:space="0" w:color="auto"/>
        <w:bottom w:val="none" w:sz="0" w:space="0" w:color="auto"/>
        <w:right w:val="none" w:sz="0" w:space="0" w:color="auto"/>
      </w:divBdr>
    </w:div>
    <w:div w:id="166018128">
      <w:bodyDiv w:val="1"/>
      <w:marLeft w:val="0"/>
      <w:marRight w:val="0"/>
      <w:marTop w:val="0"/>
      <w:marBottom w:val="0"/>
      <w:divBdr>
        <w:top w:val="none" w:sz="0" w:space="0" w:color="auto"/>
        <w:left w:val="none" w:sz="0" w:space="0" w:color="auto"/>
        <w:bottom w:val="none" w:sz="0" w:space="0" w:color="auto"/>
        <w:right w:val="none" w:sz="0" w:space="0" w:color="auto"/>
      </w:divBdr>
    </w:div>
    <w:div w:id="170030419">
      <w:bodyDiv w:val="1"/>
      <w:marLeft w:val="0"/>
      <w:marRight w:val="0"/>
      <w:marTop w:val="0"/>
      <w:marBottom w:val="0"/>
      <w:divBdr>
        <w:top w:val="none" w:sz="0" w:space="0" w:color="auto"/>
        <w:left w:val="none" w:sz="0" w:space="0" w:color="auto"/>
        <w:bottom w:val="none" w:sz="0" w:space="0" w:color="auto"/>
        <w:right w:val="none" w:sz="0" w:space="0" w:color="auto"/>
      </w:divBdr>
    </w:div>
    <w:div w:id="205334701">
      <w:bodyDiv w:val="1"/>
      <w:marLeft w:val="0"/>
      <w:marRight w:val="0"/>
      <w:marTop w:val="0"/>
      <w:marBottom w:val="0"/>
      <w:divBdr>
        <w:top w:val="none" w:sz="0" w:space="0" w:color="auto"/>
        <w:left w:val="none" w:sz="0" w:space="0" w:color="auto"/>
        <w:bottom w:val="none" w:sz="0" w:space="0" w:color="auto"/>
        <w:right w:val="none" w:sz="0" w:space="0" w:color="auto"/>
      </w:divBdr>
    </w:div>
    <w:div w:id="231895737">
      <w:bodyDiv w:val="1"/>
      <w:marLeft w:val="0"/>
      <w:marRight w:val="0"/>
      <w:marTop w:val="0"/>
      <w:marBottom w:val="0"/>
      <w:divBdr>
        <w:top w:val="none" w:sz="0" w:space="0" w:color="auto"/>
        <w:left w:val="none" w:sz="0" w:space="0" w:color="auto"/>
        <w:bottom w:val="none" w:sz="0" w:space="0" w:color="auto"/>
        <w:right w:val="none" w:sz="0" w:space="0" w:color="auto"/>
      </w:divBdr>
    </w:div>
    <w:div w:id="244533778">
      <w:bodyDiv w:val="1"/>
      <w:marLeft w:val="0"/>
      <w:marRight w:val="0"/>
      <w:marTop w:val="0"/>
      <w:marBottom w:val="0"/>
      <w:divBdr>
        <w:top w:val="none" w:sz="0" w:space="0" w:color="auto"/>
        <w:left w:val="none" w:sz="0" w:space="0" w:color="auto"/>
        <w:bottom w:val="none" w:sz="0" w:space="0" w:color="auto"/>
        <w:right w:val="none" w:sz="0" w:space="0" w:color="auto"/>
      </w:divBdr>
    </w:div>
    <w:div w:id="248464622">
      <w:bodyDiv w:val="1"/>
      <w:marLeft w:val="0"/>
      <w:marRight w:val="0"/>
      <w:marTop w:val="0"/>
      <w:marBottom w:val="0"/>
      <w:divBdr>
        <w:top w:val="none" w:sz="0" w:space="0" w:color="auto"/>
        <w:left w:val="none" w:sz="0" w:space="0" w:color="auto"/>
        <w:bottom w:val="none" w:sz="0" w:space="0" w:color="auto"/>
        <w:right w:val="none" w:sz="0" w:space="0" w:color="auto"/>
      </w:divBdr>
      <w:divsChild>
        <w:div w:id="1374042930">
          <w:marLeft w:val="0"/>
          <w:marRight w:val="0"/>
          <w:marTop w:val="0"/>
          <w:marBottom w:val="0"/>
          <w:divBdr>
            <w:top w:val="none" w:sz="0" w:space="0" w:color="auto"/>
            <w:left w:val="none" w:sz="0" w:space="0" w:color="auto"/>
            <w:bottom w:val="none" w:sz="0" w:space="0" w:color="auto"/>
            <w:right w:val="none" w:sz="0" w:space="0" w:color="auto"/>
          </w:divBdr>
        </w:div>
      </w:divsChild>
    </w:div>
    <w:div w:id="396589203">
      <w:bodyDiv w:val="1"/>
      <w:marLeft w:val="0"/>
      <w:marRight w:val="0"/>
      <w:marTop w:val="0"/>
      <w:marBottom w:val="0"/>
      <w:divBdr>
        <w:top w:val="none" w:sz="0" w:space="0" w:color="auto"/>
        <w:left w:val="none" w:sz="0" w:space="0" w:color="auto"/>
        <w:bottom w:val="none" w:sz="0" w:space="0" w:color="auto"/>
        <w:right w:val="none" w:sz="0" w:space="0" w:color="auto"/>
      </w:divBdr>
    </w:div>
    <w:div w:id="444547016">
      <w:bodyDiv w:val="1"/>
      <w:marLeft w:val="0"/>
      <w:marRight w:val="0"/>
      <w:marTop w:val="0"/>
      <w:marBottom w:val="0"/>
      <w:divBdr>
        <w:top w:val="none" w:sz="0" w:space="0" w:color="auto"/>
        <w:left w:val="none" w:sz="0" w:space="0" w:color="auto"/>
        <w:bottom w:val="none" w:sz="0" w:space="0" w:color="auto"/>
        <w:right w:val="none" w:sz="0" w:space="0" w:color="auto"/>
      </w:divBdr>
    </w:div>
    <w:div w:id="483666504">
      <w:bodyDiv w:val="1"/>
      <w:marLeft w:val="0"/>
      <w:marRight w:val="0"/>
      <w:marTop w:val="0"/>
      <w:marBottom w:val="0"/>
      <w:divBdr>
        <w:top w:val="none" w:sz="0" w:space="0" w:color="auto"/>
        <w:left w:val="none" w:sz="0" w:space="0" w:color="auto"/>
        <w:bottom w:val="none" w:sz="0" w:space="0" w:color="auto"/>
        <w:right w:val="none" w:sz="0" w:space="0" w:color="auto"/>
      </w:divBdr>
    </w:div>
    <w:div w:id="486629871">
      <w:bodyDiv w:val="1"/>
      <w:marLeft w:val="0"/>
      <w:marRight w:val="0"/>
      <w:marTop w:val="0"/>
      <w:marBottom w:val="0"/>
      <w:divBdr>
        <w:top w:val="none" w:sz="0" w:space="0" w:color="auto"/>
        <w:left w:val="none" w:sz="0" w:space="0" w:color="auto"/>
        <w:bottom w:val="none" w:sz="0" w:space="0" w:color="auto"/>
        <w:right w:val="none" w:sz="0" w:space="0" w:color="auto"/>
      </w:divBdr>
    </w:div>
    <w:div w:id="562108401">
      <w:bodyDiv w:val="1"/>
      <w:marLeft w:val="0"/>
      <w:marRight w:val="0"/>
      <w:marTop w:val="0"/>
      <w:marBottom w:val="0"/>
      <w:divBdr>
        <w:top w:val="none" w:sz="0" w:space="0" w:color="auto"/>
        <w:left w:val="none" w:sz="0" w:space="0" w:color="auto"/>
        <w:bottom w:val="none" w:sz="0" w:space="0" w:color="auto"/>
        <w:right w:val="none" w:sz="0" w:space="0" w:color="auto"/>
      </w:divBdr>
    </w:div>
    <w:div w:id="590627784">
      <w:bodyDiv w:val="1"/>
      <w:marLeft w:val="0"/>
      <w:marRight w:val="0"/>
      <w:marTop w:val="0"/>
      <w:marBottom w:val="0"/>
      <w:divBdr>
        <w:top w:val="none" w:sz="0" w:space="0" w:color="auto"/>
        <w:left w:val="none" w:sz="0" w:space="0" w:color="auto"/>
        <w:bottom w:val="none" w:sz="0" w:space="0" w:color="auto"/>
        <w:right w:val="none" w:sz="0" w:space="0" w:color="auto"/>
      </w:divBdr>
    </w:div>
    <w:div w:id="820385104">
      <w:bodyDiv w:val="1"/>
      <w:marLeft w:val="0"/>
      <w:marRight w:val="0"/>
      <w:marTop w:val="0"/>
      <w:marBottom w:val="0"/>
      <w:divBdr>
        <w:top w:val="none" w:sz="0" w:space="0" w:color="auto"/>
        <w:left w:val="none" w:sz="0" w:space="0" w:color="auto"/>
        <w:bottom w:val="none" w:sz="0" w:space="0" w:color="auto"/>
        <w:right w:val="none" w:sz="0" w:space="0" w:color="auto"/>
      </w:divBdr>
    </w:div>
    <w:div w:id="855119411">
      <w:bodyDiv w:val="1"/>
      <w:marLeft w:val="0"/>
      <w:marRight w:val="0"/>
      <w:marTop w:val="0"/>
      <w:marBottom w:val="0"/>
      <w:divBdr>
        <w:top w:val="none" w:sz="0" w:space="0" w:color="auto"/>
        <w:left w:val="none" w:sz="0" w:space="0" w:color="auto"/>
        <w:bottom w:val="none" w:sz="0" w:space="0" w:color="auto"/>
        <w:right w:val="none" w:sz="0" w:space="0" w:color="auto"/>
      </w:divBdr>
    </w:div>
    <w:div w:id="965045739">
      <w:bodyDiv w:val="1"/>
      <w:marLeft w:val="0"/>
      <w:marRight w:val="0"/>
      <w:marTop w:val="0"/>
      <w:marBottom w:val="0"/>
      <w:divBdr>
        <w:top w:val="none" w:sz="0" w:space="0" w:color="auto"/>
        <w:left w:val="none" w:sz="0" w:space="0" w:color="auto"/>
        <w:bottom w:val="none" w:sz="0" w:space="0" w:color="auto"/>
        <w:right w:val="none" w:sz="0" w:space="0" w:color="auto"/>
      </w:divBdr>
    </w:div>
    <w:div w:id="990057453">
      <w:bodyDiv w:val="1"/>
      <w:marLeft w:val="0"/>
      <w:marRight w:val="0"/>
      <w:marTop w:val="0"/>
      <w:marBottom w:val="0"/>
      <w:divBdr>
        <w:top w:val="none" w:sz="0" w:space="0" w:color="auto"/>
        <w:left w:val="none" w:sz="0" w:space="0" w:color="auto"/>
        <w:bottom w:val="none" w:sz="0" w:space="0" w:color="auto"/>
        <w:right w:val="none" w:sz="0" w:space="0" w:color="auto"/>
      </w:divBdr>
    </w:div>
    <w:div w:id="1054277654">
      <w:bodyDiv w:val="1"/>
      <w:marLeft w:val="0"/>
      <w:marRight w:val="0"/>
      <w:marTop w:val="0"/>
      <w:marBottom w:val="0"/>
      <w:divBdr>
        <w:top w:val="none" w:sz="0" w:space="0" w:color="auto"/>
        <w:left w:val="none" w:sz="0" w:space="0" w:color="auto"/>
        <w:bottom w:val="none" w:sz="0" w:space="0" w:color="auto"/>
        <w:right w:val="none" w:sz="0" w:space="0" w:color="auto"/>
      </w:divBdr>
    </w:div>
    <w:div w:id="1065489801">
      <w:bodyDiv w:val="1"/>
      <w:marLeft w:val="0"/>
      <w:marRight w:val="0"/>
      <w:marTop w:val="0"/>
      <w:marBottom w:val="0"/>
      <w:divBdr>
        <w:top w:val="none" w:sz="0" w:space="0" w:color="auto"/>
        <w:left w:val="none" w:sz="0" w:space="0" w:color="auto"/>
        <w:bottom w:val="none" w:sz="0" w:space="0" w:color="auto"/>
        <w:right w:val="none" w:sz="0" w:space="0" w:color="auto"/>
      </w:divBdr>
      <w:divsChild>
        <w:div w:id="2143882529">
          <w:marLeft w:val="0"/>
          <w:marRight w:val="0"/>
          <w:marTop w:val="0"/>
          <w:marBottom w:val="0"/>
          <w:divBdr>
            <w:top w:val="none" w:sz="0" w:space="0" w:color="auto"/>
            <w:left w:val="none" w:sz="0" w:space="0" w:color="auto"/>
            <w:bottom w:val="none" w:sz="0" w:space="0" w:color="auto"/>
            <w:right w:val="none" w:sz="0" w:space="0" w:color="auto"/>
          </w:divBdr>
        </w:div>
      </w:divsChild>
    </w:div>
    <w:div w:id="1098871931">
      <w:bodyDiv w:val="1"/>
      <w:marLeft w:val="0"/>
      <w:marRight w:val="0"/>
      <w:marTop w:val="0"/>
      <w:marBottom w:val="0"/>
      <w:divBdr>
        <w:top w:val="none" w:sz="0" w:space="0" w:color="auto"/>
        <w:left w:val="none" w:sz="0" w:space="0" w:color="auto"/>
        <w:bottom w:val="none" w:sz="0" w:space="0" w:color="auto"/>
        <w:right w:val="none" w:sz="0" w:space="0" w:color="auto"/>
      </w:divBdr>
    </w:div>
    <w:div w:id="1168907949">
      <w:bodyDiv w:val="1"/>
      <w:marLeft w:val="0"/>
      <w:marRight w:val="0"/>
      <w:marTop w:val="0"/>
      <w:marBottom w:val="0"/>
      <w:divBdr>
        <w:top w:val="none" w:sz="0" w:space="0" w:color="auto"/>
        <w:left w:val="none" w:sz="0" w:space="0" w:color="auto"/>
        <w:bottom w:val="none" w:sz="0" w:space="0" w:color="auto"/>
        <w:right w:val="none" w:sz="0" w:space="0" w:color="auto"/>
      </w:divBdr>
    </w:div>
    <w:div w:id="1203518151">
      <w:bodyDiv w:val="1"/>
      <w:marLeft w:val="0"/>
      <w:marRight w:val="0"/>
      <w:marTop w:val="0"/>
      <w:marBottom w:val="0"/>
      <w:divBdr>
        <w:top w:val="none" w:sz="0" w:space="0" w:color="auto"/>
        <w:left w:val="none" w:sz="0" w:space="0" w:color="auto"/>
        <w:bottom w:val="none" w:sz="0" w:space="0" w:color="auto"/>
        <w:right w:val="none" w:sz="0" w:space="0" w:color="auto"/>
      </w:divBdr>
    </w:div>
    <w:div w:id="1432704691">
      <w:bodyDiv w:val="1"/>
      <w:marLeft w:val="0"/>
      <w:marRight w:val="0"/>
      <w:marTop w:val="0"/>
      <w:marBottom w:val="0"/>
      <w:divBdr>
        <w:top w:val="none" w:sz="0" w:space="0" w:color="auto"/>
        <w:left w:val="none" w:sz="0" w:space="0" w:color="auto"/>
        <w:bottom w:val="none" w:sz="0" w:space="0" w:color="auto"/>
        <w:right w:val="none" w:sz="0" w:space="0" w:color="auto"/>
      </w:divBdr>
    </w:div>
    <w:div w:id="1510483488">
      <w:bodyDiv w:val="1"/>
      <w:marLeft w:val="0"/>
      <w:marRight w:val="0"/>
      <w:marTop w:val="0"/>
      <w:marBottom w:val="0"/>
      <w:divBdr>
        <w:top w:val="none" w:sz="0" w:space="0" w:color="auto"/>
        <w:left w:val="none" w:sz="0" w:space="0" w:color="auto"/>
        <w:bottom w:val="none" w:sz="0" w:space="0" w:color="auto"/>
        <w:right w:val="none" w:sz="0" w:space="0" w:color="auto"/>
      </w:divBdr>
    </w:div>
    <w:div w:id="1550994029">
      <w:bodyDiv w:val="1"/>
      <w:marLeft w:val="0"/>
      <w:marRight w:val="0"/>
      <w:marTop w:val="0"/>
      <w:marBottom w:val="0"/>
      <w:divBdr>
        <w:top w:val="none" w:sz="0" w:space="0" w:color="auto"/>
        <w:left w:val="none" w:sz="0" w:space="0" w:color="auto"/>
        <w:bottom w:val="none" w:sz="0" w:space="0" w:color="auto"/>
        <w:right w:val="none" w:sz="0" w:space="0" w:color="auto"/>
      </w:divBdr>
    </w:div>
    <w:div w:id="1631550604">
      <w:bodyDiv w:val="1"/>
      <w:marLeft w:val="0"/>
      <w:marRight w:val="0"/>
      <w:marTop w:val="0"/>
      <w:marBottom w:val="0"/>
      <w:divBdr>
        <w:top w:val="none" w:sz="0" w:space="0" w:color="auto"/>
        <w:left w:val="none" w:sz="0" w:space="0" w:color="auto"/>
        <w:bottom w:val="none" w:sz="0" w:space="0" w:color="auto"/>
        <w:right w:val="none" w:sz="0" w:space="0" w:color="auto"/>
      </w:divBdr>
    </w:div>
    <w:div w:id="1672759928">
      <w:bodyDiv w:val="1"/>
      <w:marLeft w:val="0"/>
      <w:marRight w:val="0"/>
      <w:marTop w:val="0"/>
      <w:marBottom w:val="0"/>
      <w:divBdr>
        <w:top w:val="none" w:sz="0" w:space="0" w:color="auto"/>
        <w:left w:val="none" w:sz="0" w:space="0" w:color="auto"/>
        <w:bottom w:val="none" w:sz="0" w:space="0" w:color="auto"/>
        <w:right w:val="none" w:sz="0" w:space="0" w:color="auto"/>
      </w:divBdr>
    </w:div>
    <w:div w:id="1718695641">
      <w:bodyDiv w:val="1"/>
      <w:marLeft w:val="0"/>
      <w:marRight w:val="0"/>
      <w:marTop w:val="0"/>
      <w:marBottom w:val="0"/>
      <w:divBdr>
        <w:top w:val="none" w:sz="0" w:space="0" w:color="auto"/>
        <w:left w:val="none" w:sz="0" w:space="0" w:color="auto"/>
        <w:bottom w:val="none" w:sz="0" w:space="0" w:color="auto"/>
        <w:right w:val="none" w:sz="0" w:space="0" w:color="auto"/>
      </w:divBdr>
    </w:div>
    <w:div w:id="1803647357">
      <w:bodyDiv w:val="1"/>
      <w:marLeft w:val="0"/>
      <w:marRight w:val="0"/>
      <w:marTop w:val="0"/>
      <w:marBottom w:val="0"/>
      <w:divBdr>
        <w:top w:val="none" w:sz="0" w:space="0" w:color="auto"/>
        <w:left w:val="none" w:sz="0" w:space="0" w:color="auto"/>
        <w:bottom w:val="none" w:sz="0" w:space="0" w:color="auto"/>
        <w:right w:val="none" w:sz="0" w:space="0" w:color="auto"/>
      </w:divBdr>
    </w:div>
    <w:div w:id="1807576982">
      <w:bodyDiv w:val="1"/>
      <w:marLeft w:val="0"/>
      <w:marRight w:val="0"/>
      <w:marTop w:val="0"/>
      <w:marBottom w:val="0"/>
      <w:divBdr>
        <w:top w:val="none" w:sz="0" w:space="0" w:color="auto"/>
        <w:left w:val="none" w:sz="0" w:space="0" w:color="auto"/>
        <w:bottom w:val="none" w:sz="0" w:space="0" w:color="auto"/>
        <w:right w:val="none" w:sz="0" w:space="0" w:color="auto"/>
      </w:divBdr>
    </w:div>
    <w:div w:id="1832061725">
      <w:bodyDiv w:val="1"/>
      <w:marLeft w:val="0"/>
      <w:marRight w:val="0"/>
      <w:marTop w:val="0"/>
      <w:marBottom w:val="0"/>
      <w:divBdr>
        <w:top w:val="none" w:sz="0" w:space="0" w:color="auto"/>
        <w:left w:val="none" w:sz="0" w:space="0" w:color="auto"/>
        <w:bottom w:val="none" w:sz="0" w:space="0" w:color="auto"/>
        <w:right w:val="none" w:sz="0" w:space="0" w:color="auto"/>
      </w:divBdr>
    </w:div>
    <w:div w:id="1905679039">
      <w:bodyDiv w:val="1"/>
      <w:marLeft w:val="0"/>
      <w:marRight w:val="0"/>
      <w:marTop w:val="0"/>
      <w:marBottom w:val="0"/>
      <w:divBdr>
        <w:top w:val="none" w:sz="0" w:space="0" w:color="auto"/>
        <w:left w:val="none" w:sz="0" w:space="0" w:color="auto"/>
        <w:bottom w:val="none" w:sz="0" w:space="0" w:color="auto"/>
        <w:right w:val="none" w:sz="0" w:space="0" w:color="auto"/>
      </w:divBdr>
    </w:div>
    <w:div w:id="2064208851">
      <w:bodyDiv w:val="1"/>
      <w:marLeft w:val="0"/>
      <w:marRight w:val="0"/>
      <w:marTop w:val="0"/>
      <w:marBottom w:val="0"/>
      <w:divBdr>
        <w:top w:val="none" w:sz="0" w:space="0" w:color="auto"/>
        <w:left w:val="none" w:sz="0" w:space="0" w:color="auto"/>
        <w:bottom w:val="none" w:sz="0" w:space="0" w:color="auto"/>
        <w:right w:val="none" w:sz="0" w:space="0" w:color="auto"/>
      </w:divBdr>
    </w:div>
    <w:div w:id="214303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16</Pages>
  <Words>10631</Words>
  <Characters>60598</Characters>
  <Application>Microsoft Office Word</Application>
  <DocSecurity>0</DocSecurity>
  <Lines>504</Lines>
  <Paragraphs>142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Guida</dc:creator>
  <cp:keywords/>
  <dc:description/>
  <cp:lastModifiedBy>Gabriella Guida</cp:lastModifiedBy>
  <cp:revision>7</cp:revision>
  <dcterms:created xsi:type="dcterms:W3CDTF">2025-03-15T16:09:00Z</dcterms:created>
  <dcterms:modified xsi:type="dcterms:W3CDTF">2025-03-15T16:45:00Z</dcterms:modified>
</cp:coreProperties>
</file>